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楷体_GB2312" w:eastAsia="楷体_GB2312" w:cs="楷体_GB2312"/>
          <w:sz w:val="52"/>
          <w:szCs w:val="5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楷体_GB2312" w:eastAsia="楷体_GB2312" w:cs="楷体_GB2312"/>
          <w:sz w:val="52"/>
          <w:szCs w:val="5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wordWrap/>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山政字</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19"/>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山亭区人民政府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zh-TW" w:eastAsia="zh-TW"/>
        </w:rPr>
      </w:pPr>
      <w:r>
        <w:rPr>
          <w:rFonts w:hint="default" w:ascii="Times New Roman" w:hAnsi="Times New Roman" w:eastAsia="方正小标宋简体" w:cs="Times New Roman"/>
          <w:color w:val="000000" w:themeColor="text1"/>
          <w:sz w:val="44"/>
          <w:szCs w:val="44"/>
          <w14:textFill>
            <w14:solidFill>
              <w14:schemeClr w14:val="tx1"/>
            </w14:solidFill>
          </w14:textFill>
        </w:rPr>
        <w:t>关于印发</w:t>
      </w:r>
      <w:r>
        <w:rPr>
          <w:rFonts w:hint="eastAsia" w:ascii="方正小标宋简体" w:hAnsi="方正小标宋简体" w:eastAsia="方正小标宋简体" w:cs="方正小标宋简体"/>
          <w:sz w:val="44"/>
          <w:szCs w:val="44"/>
          <w:lang w:val="en-US" w:eastAsia="zh-CN"/>
        </w:rPr>
        <w:t>山亭区</w:t>
      </w:r>
      <w:r>
        <w:rPr>
          <w:rFonts w:hint="eastAsia" w:ascii="方正小标宋简体" w:hAnsi="方正小标宋简体" w:eastAsia="方正小标宋简体" w:cs="方正小标宋简体"/>
          <w:sz w:val="44"/>
          <w:szCs w:val="44"/>
          <w:lang w:val="zh-TW" w:eastAsia="zh-TW"/>
        </w:rPr>
        <w:t>残疾人事业发展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sz w:val="44"/>
          <w:szCs w:val="44"/>
          <w:lang w:val="zh-CN" w:eastAsia="zh-CN"/>
        </w:rPr>
        <w:t>“十</w:t>
      </w:r>
      <w:r>
        <w:rPr>
          <w:rFonts w:hint="eastAsia" w:ascii="方正小标宋简体" w:hAnsi="方正小标宋简体" w:eastAsia="方正小标宋简体" w:cs="方正小标宋简体"/>
          <w:sz w:val="44"/>
          <w:szCs w:val="44"/>
          <w:lang w:val="zh-TW" w:eastAsia="zh-TW"/>
        </w:rPr>
        <w:t>四五”规划</w:t>
      </w:r>
      <w:r>
        <w:rPr>
          <w:rFonts w:hint="default" w:ascii="Times New Roman" w:hAnsi="Times New Roman" w:eastAsia="方正小标宋简体" w:cs="Times New Roman"/>
          <w:color w:val="000000" w:themeColor="text1"/>
          <w:sz w:val="44"/>
          <w:szCs w:val="44"/>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各镇人民政府、山城街道办事处，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山亭经济开发区管委会，</w:t>
      </w:r>
      <w:r>
        <w:rPr>
          <w:rFonts w:hint="default"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政府各</w:t>
      </w:r>
      <w:r>
        <w:rPr>
          <w:rFonts w:hint="default" w:ascii="Times New Roman" w:hAnsi="Times New Roman" w:eastAsia="仿宋_GB2312" w:cs="Times New Roman"/>
          <w:color w:val="000000" w:themeColor="text1"/>
          <w:sz w:val="32"/>
          <w:szCs w:val="32"/>
          <w14:textFill>
            <w14:solidFill>
              <w14:schemeClr w14:val="tx1"/>
            </w14:solidFill>
          </w14:textFill>
        </w:rPr>
        <w:t>部门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单位，区属各企业</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现将</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山亭区</w:t>
      </w:r>
      <w:r>
        <w:rPr>
          <w:rFonts w:hint="eastAsia" w:ascii="Times New Roman" w:hAnsi="Times New Roman" w:eastAsia="仿宋_GB2312" w:cs="Times New Roman"/>
          <w:color w:val="000000" w:themeColor="text1"/>
          <w:sz w:val="32"/>
          <w:szCs w:val="32"/>
          <w:lang w:val="zh-TW" w:eastAsia="zh-TW"/>
          <w14:textFill>
            <w14:solidFill>
              <w14:schemeClr w14:val="tx1"/>
            </w14:solidFill>
          </w14:textFill>
        </w:rPr>
        <w:t>残疾人事业发展</w:t>
      </w:r>
      <w:r>
        <w:rPr>
          <w:rFonts w:hint="eastAsia" w:ascii="Times New Roman" w:hAnsi="Times New Roman" w:eastAsia="仿宋_GB2312" w:cs="Times New Roman"/>
          <w:color w:val="000000" w:themeColor="text1"/>
          <w:sz w:val="32"/>
          <w:szCs w:val="32"/>
          <w:lang w:val="zh-CN" w:eastAsia="zh-CN"/>
          <w14:textFill>
            <w14:solidFill>
              <w14:schemeClr w14:val="tx1"/>
            </w14:solidFill>
          </w14:textFill>
        </w:rPr>
        <w:t>“十</w:t>
      </w:r>
      <w:r>
        <w:rPr>
          <w:rFonts w:hint="eastAsia" w:ascii="Times New Roman" w:hAnsi="Times New Roman" w:eastAsia="仿宋_GB2312" w:cs="Times New Roman"/>
          <w:color w:val="000000" w:themeColor="text1"/>
          <w:sz w:val="32"/>
          <w:szCs w:val="32"/>
          <w:lang w:val="zh-TW" w:eastAsia="zh-TW"/>
          <w14:textFill>
            <w14:solidFill>
              <w14:schemeClr w14:val="tx1"/>
            </w14:solidFill>
          </w14:textFill>
        </w:rPr>
        <w:t>四五”规划</w:t>
      </w:r>
      <w:r>
        <w:rPr>
          <w:rFonts w:hint="default" w:ascii="Times New Roman" w:hAnsi="Times New Roman" w:eastAsia="仿宋_GB2312" w:cs="Times New Roman"/>
          <w:color w:val="000000" w:themeColor="text1"/>
          <w:sz w:val="32"/>
          <w:szCs w:val="32"/>
          <w14:textFill>
            <w14:solidFill>
              <w14:schemeClr w14:val="tx1"/>
            </w14:solidFill>
          </w14:textFill>
        </w:rPr>
        <w:t>》印发给你们，请认真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贯彻</w:t>
      </w:r>
      <w:r>
        <w:rPr>
          <w:rFonts w:hint="default" w:ascii="Times New Roman" w:hAnsi="Times New Roman" w:eastAsia="仿宋_GB2312" w:cs="Times New Roman"/>
          <w:color w:val="000000" w:themeColor="text1"/>
          <w:sz w:val="32"/>
          <w:szCs w:val="32"/>
          <w14:textFill>
            <w14:solidFill>
              <w14:schemeClr w14:val="tx1"/>
            </w14:solidFill>
          </w14:textFill>
        </w:rPr>
        <w:t>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keepNext w:val="0"/>
        <w:keepLines w:val="0"/>
        <w:pageBreakBefore w:val="0"/>
        <w:wordWrap/>
        <w:topLinePunct w:val="0"/>
        <w:bidi w:val="0"/>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righ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山亭区人民政府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righ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2022年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（此件公开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山亭区</w:t>
      </w:r>
      <w:r>
        <w:rPr>
          <w:rFonts w:hint="eastAsia" w:ascii="方正小标宋简体" w:hAnsi="方正小标宋简体" w:eastAsia="方正小标宋简体" w:cs="方正小标宋简体"/>
          <w:sz w:val="44"/>
          <w:szCs w:val="44"/>
          <w:lang w:val="zh-TW" w:eastAsia="zh-TW"/>
        </w:rPr>
        <w:t>残疾人事业发展</w:t>
      </w:r>
      <w:r>
        <w:rPr>
          <w:rFonts w:hint="eastAsia" w:ascii="方正小标宋简体" w:hAnsi="方正小标宋简体" w:eastAsia="方正小标宋简体" w:cs="方正小标宋简体"/>
          <w:sz w:val="44"/>
          <w:szCs w:val="44"/>
          <w:lang w:val="zh-CN" w:eastAsia="zh-CN"/>
        </w:rPr>
        <w:t>“十</w:t>
      </w:r>
      <w:r>
        <w:rPr>
          <w:rFonts w:hint="eastAsia" w:ascii="方正小标宋简体" w:hAnsi="方正小标宋简体" w:eastAsia="方正小标宋简体" w:cs="方正小标宋简体"/>
          <w:sz w:val="44"/>
          <w:szCs w:val="44"/>
          <w:lang w:val="zh-TW" w:eastAsia="zh-TW"/>
        </w:rPr>
        <w:t>四五”规划</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 w:hAnsi="仿宋" w:eastAsia="仿宋" w:cs="仿宋"/>
          <w:b w:val="0"/>
          <w:bCs w:val="0"/>
          <w:color w:val="000000"/>
          <w:spacing w:val="0"/>
          <w:w w:val="100"/>
          <w:position w:val="0"/>
          <w:sz w:val="32"/>
          <w:szCs w:val="32"/>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为深入贯彻落实</w:t>
      </w:r>
      <w:r>
        <w:rPr>
          <w:rFonts w:hint="eastAsia" w:ascii="仿宋_GB2312" w:hAnsi="仿宋_GB2312" w:eastAsia="仿宋_GB2312" w:cs="仿宋_GB2312"/>
          <w:b w:val="0"/>
          <w:bCs w:val="0"/>
          <w:color w:val="000000"/>
          <w:spacing w:val="0"/>
          <w:w w:val="100"/>
          <w:position w:val="0"/>
          <w:sz w:val="32"/>
          <w:szCs w:val="32"/>
          <w:lang w:val="en-US" w:eastAsia="zh-CN"/>
        </w:rPr>
        <w:t>市</w:t>
      </w:r>
      <w:r>
        <w:rPr>
          <w:rFonts w:hint="eastAsia" w:ascii="仿宋_GB2312" w:hAnsi="仿宋_GB2312" w:eastAsia="仿宋_GB2312" w:cs="仿宋_GB2312"/>
          <w:b w:val="0"/>
          <w:bCs w:val="0"/>
          <w:color w:val="000000"/>
          <w:spacing w:val="0"/>
          <w:w w:val="100"/>
          <w:position w:val="0"/>
          <w:sz w:val="32"/>
          <w:szCs w:val="32"/>
        </w:rPr>
        <w:t>委、</w:t>
      </w:r>
      <w:r>
        <w:rPr>
          <w:rFonts w:hint="eastAsia" w:ascii="仿宋_GB2312" w:hAnsi="仿宋_GB2312" w:eastAsia="仿宋_GB2312" w:cs="仿宋_GB2312"/>
          <w:b w:val="0"/>
          <w:bCs w:val="0"/>
          <w:color w:val="000000"/>
          <w:spacing w:val="0"/>
          <w:w w:val="100"/>
          <w:position w:val="0"/>
          <w:sz w:val="32"/>
          <w:szCs w:val="32"/>
          <w:lang w:val="en-US" w:eastAsia="zh-CN"/>
        </w:rPr>
        <w:t>市</w:t>
      </w:r>
      <w:r>
        <w:rPr>
          <w:rFonts w:hint="eastAsia" w:ascii="仿宋_GB2312" w:hAnsi="仿宋_GB2312" w:eastAsia="仿宋_GB2312" w:cs="仿宋_GB2312"/>
          <w:b w:val="0"/>
          <w:bCs w:val="0"/>
          <w:color w:val="000000"/>
          <w:spacing w:val="0"/>
          <w:w w:val="100"/>
          <w:position w:val="0"/>
          <w:sz w:val="32"/>
          <w:szCs w:val="32"/>
        </w:rPr>
        <w:t>政府决策部署，进一步保障和改善残疾人民生，加快推进我</w:t>
      </w:r>
      <w:r>
        <w:rPr>
          <w:rFonts w:hint="eastAsia" w:ascii="仿宋_GB2312" w:hAnsi="仿宋_GB2312" w:eastAsia="仿宋_GB2312" w:cs="仿宋_GB2312"/>
          <w:b w:val="0"/>
          <w:bCs w:val="0"/>
          <w:color w:val="000000"/>
          <w:spacing w:val="0"/>
          <w:w w:val="100"/>
          <w:position w:val="0"/>
          <w:sz w:val="32"/>
          <w:szCs w:val="32"/>
          <w:lang w:eastAsia="zh-CN"/>
        </w:rPr>
        <w:t>区</w:t>
      </w:r>
      <w:r>
        <w:rPr>
          <w:rFonts w:hint="eastAsia" w:ascii="仿宋_GB2312" w:hAnsi="仿宋_GB2312" w:eastAsia="仿宋_GB2312" w:cs="仿宋_GB2312"/>
          <w:b w:val="0"/>
          <w:bCs w:val="0"/>
          <w:color w:val="000000"/>
          <w:spacing w:val="0"/>
          <w:w w:val="100"/>
          <w:position w:val="0"/>
          <w:sz w:val="32"/>
          <w:szCs w:val="32"/>
        </w:rPr>
        <w:t>残疾人事业高质量发展，根据</w:t>
      </w:r>
      <w:r>
        <w:rPr>
          <w:rFonts w:hint="eastAsia" w:ascii="仿宋_GB2312" w:hAnsi="仿宋_GB2312" w:eastAsia="仿宋_GB2312" w:cs="仿宋_GB2312"/>
          <w:b w:val="0"/>
          <w:bCs w:val="0"/>
          <w:color w:val="000000"/>
          <w:spacing w:val="0"/>
          <w:w w:val="100"/>
          <w:position w:val="0"/>
          <w:sz w:val="32"/>
          <w:szCs w:val="32"/>
          <w:lang w:val="en-US" w:eastAsia="zh-CN"/>
        </w:rPr>
        <w:t>《枣庄市</w:t>
      </w:r>
      <w:r>
        <w:rPr>
          <w:rFonts w:hint="eastAsia" w:ascii="仿宋_GB2312" w:hAnsi="仿宋_GB2312" w:eastAsia="仿宋_GB2312" w:cs="仿宋_GB2312"/>
          <w:b w:val="0"/>
          <w:bCs w:val="0"/>
          <w:color w:val="000000"/>
          <w:spacing w:val="0"/>
          <w:w w:val="100"/>
          <w:position w:val="0"/>
          <w:sz w:val="32"/>
          <w:szCs w:val="32"/>
        </w:rPr>
        <w:t>残疾人事业发展</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lang w:val="zh-CN" w:eastAsia="zh-CN" w:bidi="zh-CN"/>
        </w:rPr>
        <w:t>十</w:t>
      </w:r>
      <w:r>
        <w:rPr>
          <w:rFonts w:hint="eastAsia" w:ascii="仿宋_GB2312" w:hAnsi="仿宋_GB2312" w:eastAsia="仿宋_GB2312" w:cs="仿宋_GB2312"/>
          <w:b w:val="0"/>
          <w:bCs w:val="0"/>
          <w:color w:val="000000"/>
          <w:spacing w:val="0"/>
          <w:w w:val="100"/>
          <w:position w:val="0"/>
          <w:sz w:val="32"/>
          <w:szCs w:val="32"/>
        </w:rPr>
        <w:t>四五</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规划</w:t>
      </w:r>
      <w:r>
        <w:rPr>
          <w:rFonts w:hint="eastAsia" w:ascii="仿宋_GB2312" w:hAnsi="仿宋_GB2312" w:eastAsia="仿宋_GB2312" w:cs="仿宋_GB2312"/>
          <w:b w:val="0"/>
          <w:bCs w:val="0"/>
          <w:color w:val="000000"/>
          <w:spacing w:val="0"/>
          <w:w w:val="100"/>
          <w:position w:val="0"/>
          <w:sz w:val="32"/>
          <w:szCs w:val="32"/>
          <w:lang w:val="en-US" w:eastAsia="zh-CN"/>
        </w:rPr>
        <w:t>》（枣政字</w:t>
      </w:r>
      <w:r>
        <w:rPr>
          <w:rFonts w:hint="eastAsia" w:ascii="仿宋_GB2312" w:eastAsia="仿宋_GB2312"/>
          <w:sz w:val="32"/>
          <w:szCs w:val="32"/>
        </w:rPr>
        <w:t>〔</w:t>
      </w:r>
      <w:r>
        <w:rPr>
          <w:rFonts w:hint="eastAsia" w:ascii="仿宋_GB2312" w:hAnsi="仿宋_GB2312" w:eastAsia="仿宋_GB2312" w:cs="仿宋_GB2312"/>
          <w:b w:val="0"/>
          <w:bCs w:val="0"/>
          <w:color w:val="000000"/>
          <w:spacing w:val="0"/>
          <w:w w:val="100"/>
          <w:position w:val="0"/>
          <w:sz w:val="32"/>
          <w:szCs w:val="32"/>
          <w:lang w:val="en-US" w:eastAsia="zh-CN"/>
        </w:rPr>
        <w:t>2021</w:t>
      </w:r>
      <w:r>
        <w:rPr>
          <w:rFonts w:hint="eastAsia" w:ascii="仿宋_GB2312" w:eastAsia="仿宋_GB2312"/>
          <w:sz w:val="32"/>
          <w:szCs w:val="32"/>
        </w:rPr>
        <w:t>〕</w:t>
      </w:r>
      <w:r>
        <w:rPr>
          <w:rFonts w:hint="eastAsia" w:ascii="仿宋_GB2312" w:hAnsi="仿宋_GB2312" w:eastAsia="仿宋_GB2312" w:cs="仿宋_GB2312"/>
          <w:b w:val="0"/>
          <w:bCs w:val="0"/>
          <w:color w:val="000000"/>
          <w:spacing w:val="0"/>
          <w:w w:val="100"/>
          <w:position w:val="0"/>
          <w:sz w:val="32"/>
          <w:szCs w:val="32"/>
          <w:lang w:val="en-US" w:eastAsia="zh-CN"/>
        </w:rPr>
        <w:t>24号）和《</w:t>
      </w:r>
      <w:r>
        <w:rPr>
          <w:rFonts w:hint="eastAsia" w:ascii="仿宋_GB2312" w:hAnsi="仿宋_GB2312" w:eastAsia="仿宋_GB2312" w:cs="仿宋_GB2312"/>
          <w:b w:val="0"/>
          <w:bCs w:val="0"/>
          <w:color w:val="000000"/>
          <w:spacing w:val="0"/>
          <w:w w:val="100"/>
          <w:position w:val="0"/>
          <w:sz w:val="32"/>
          <w:szCs w:val="32"/>
        </w:rPr>
        <w:t>山亭区国民经济和社会发展第十四个五年规划和2035年远景目标纲要</w:t>
      </w:r>
      <w:r>
        <w:rPr>
          <w:rFonts w:hint="eastAsia" w:ascii="仿宋_GB2312" w:hAnsi="仿宋_GB2312" w:eastAsia="仿宋_GB2312" w:cs="仿宋_GB2312"/>
          <w:b w:val="0"/>
          <w:bCs w:val="0"/>
          <w:color w:val="000000"/>
          <w:spacing w:val="0"/>
          <w:w w:val="100"/>
          <w:position w:val="0"/>
          <w:sz w:val="32"/>
          <w:szCs w:val="32"/>
          <w:lang w:val="en-US" w:eastAsia="zh-CN"/>
        </w:rPr>
        <w:t>》，</w:t>
      </w:r>
      <w:r>
        <w:rPr>
          <w:rFonts w:hint="eastAsia" w:ascii="仿宋_GB2312" w:hAnsi="仿宋_GB2312" w:eastAsia="仿宋_GB2312" w:cs="仿宋_GB2312"/>
          <w:b w:val="0"/>
          <w:bCs w:val="0"/>
          <w:color w:val="000000"/>
          <w:spacing w:val="0"/>
          <w:w w:val="100"/>
          <w:position w:val="0"/>
          <w:sz w:val="32"/>
          <w:szCs w:val="32"/>
        </w:rPr>
        <w:t>结合工作实际，制定本规划。</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rPr>
        <w:t>一、总体要求</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仿宋_GB2312" w:hAnsi="仿宋_GB2312" w:eastAsia="仿宋_GB2312" w:cs="仿宋_GB2312"/>
          <w:b w:val="0"/>
          <w:bCs w:val="0"/>
          <w:color w:val="000000"/>
          <w:spacing w:val="0"/>
          <w:w w:val="100"/>
          <w:position w:val="0"/>
          <w:sz w:val="32"/>
          <w:szCs w:val="32"/>
        </w:rPr>
      </w:pPr>
      <w:bookmarkStart w:id="0" w:name="bookmark9"/>
      <w:r>
        <w:rPr>
          <w:rFonts w:hint="eastAsia" w:ascii="楷体_GB2312" w:hAnsi="楷体_GB2312" w:eastAsia="楷体_GB2312" w:cs="楷体_GB2312"/>
          <w:b w:val="0"/>
          <w:bCs w:val="0"/>
          <w:color w:val="000000"/>
          <w:spacing w:val="0"/>
          <w:w w:val="100"/>
          <w:position w:val="0"/>
          <w:sz w:val="32"/>
          <w:szCs w:val="32"/>
        </w:rPr>
        <w:t>（</w:t>
      </w:r>
      <w:bookmarkEnd w:id="0"/>
      <w:r>
        <w:rPr>
          <w:rFonts w:hint="eastAsia" w:ascii="楷体_GB2312" w:hAnsi="楷体_GB2312" w:eastAsia="楷体_GB2312" w:cs="楷体_GB2312"/>
          <w:b w:val="0"/>
          <w:bCs w:val="0"/>
          <w:color w:val="000000"/>
          <w:spacing w:val="0"/>
          <w:w w:val="100"/>
          <w:position w:val="0"/>
          <w:sz w:val="32"/>
          <w:szCs w:val="32"/>
        </w:rPr>
        <w:t>一）指导思想。</w:t>
      </w:r>
      <w:r>
        <w:rPr>
          <w:rFonts w:hint="eastAsia" w:ascii="仿宋_GB2312" w:hAnsi="仿宋_GB2312" w:eastAsia="仿宋_GB2312" w:cs="仿宋_GB2312"/>
          <w:b w:val="0"/>
          <w:bCs w:val="0"/>
          <w:color w:val="000000"/>
          <w:spacing w:val="0"/>
          <w:w w:val="100"/>
          <w:position w:val="0"/>
          <w:sz w:val="32"/>
          <w:szCs w:val="32"/>
        </w:rPr>
        <w:t>高举中国特色社会主义伟大旗帜，深入贯彻党的十九大和十九届二中、三中、四中、五中</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lang w:val="en-US" w:eastAsia="zh-CN"/>
        </w:rPr>
        <w:t>六中</w:t>
      </w:r>
      <w:r>
        <w:rPr>
          <w:rFonts w:hint="eastAsia" w:ascii="仿宋_GB2312" w:hAnsi="仿宋_GB2312" w:eastAsia="仿宋_GB2312" w:cs="仿宋_GB2312"/>
          <w:b w:val="0"/>
          <w:bCs w:val="0"/>
          <w:color w:val="000000"/>
          <w:spacing w:val="0"/>
          <w:w w:val="100"/>
          <w:position w:val="0"/>
          <w:sz w:val="32"/>
          <w:szCs w:val="32"/>
        </w:rPr>
        <w:t>全会精神</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坚持以习近平新时代中国特色社会主义思想为指导</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贯彻落实习近平总书记关于残疾人事业的重要论述、重要指示批示精神和党中央、国务院、省委省政府</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lang w:val="en-US" w:eastAsia="zh-CN"/>
        </w:rPr>
        <w:t>市委市政府</w:t>
      </w:r>
      <w:r>
        <w:rPr>
          <w:rFonts w:hint="eastAsia" w:ascii="仿宋_GB2312" w:hAnsi="仿宋_GB2312" w:eastAsia="仿宋_GB2312" w:cs="仿宋_GB2312"/>
          <w:b w:val="0"/>
          <w:bCs w:val="0"/>
          <w:color w:val="000000"/>
          <w:spacing w:val="0"/>
          <w:w w:val="100"/>
          <w:position w:val="0"/>
          <w:sz w:val="32"/>
          <w:szCs w:val="32"/>
        </w:rPr>
        <w:t>的决策部署，坚定不移的贯彻新发展理念，以推动残疾人事业高质</w:t>
      </w:r>
      <w:r>
        <w:rPr>
          <w:rFonts w:hint="eastAsia" w:ascii="仿宋_GB2312" w:hAnsi="仿宋_GB2312" w:eastAsia="仿宋_GB2312" w:cs="仿宋_GB2312"/>
          <w:b w:val="0"/>
          <w:bCs w:val="0"/>
          <w:color w:val="000000"/>
          <w:spacing w:val="0"/>
          <w:w w:val="100"/>
          <w:position w:val="0"/>
          <w:sz w:val="32"/>
          <w:szCs w:val="32"/>
          <w:lang w:eastAsia="zh-CN"/>
        </w:rPr>
        <w:t>量</w:t>
      </w:r>
      <w:r>
        <w:rPr>
          <w:rFonts w:hint="eastAsia" w:ascii="仿宋_GB2312" w:hAnsi="仿宋_GB2312" w:eastAsia="仿宋_GB2312" w:cs="仿宋_GB2312"/>
          <w:b w:val="0"/>
          <w:bCs w:val="0"/>
          <w:color w:val="000000"/>
          <w:spacing w:val="0"/>
          <w:w w:val="100"/>
          <w:position w:val="0"/>
          <w:sz w:val="32"/>
          <w:szCs w:val="32"/>
        </w:rPr>
        <w:t>发展为主题，以巩固拓展残疾人脱贫攻坚成果、促进残疾人全面发展和共同富裕为主线，保障残疾人平等权利，增进残疾人民生福祉，增强残疾人自我发展能力，推动残疾人事业向着现代化迈进</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不断满足残疾人美好生活需要。</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楷体_GB2312" w:hAnsi="楷体_GB2312" w:eastAsia="楷体_GB2312" w:cs="楷体_GB2312"/>
          <w:b w:val="0"/>
          <w:bCs w:val="0"/>
          <w:color w:val="000000"/>
          <w:spacing w:val="0"/>
          <w:w w:val="100"/>
          <w:position w:val="0"/>
          <w:sz w:val="32"/>
          <w:szCs w:val="32"/>
          <w:lang w:eastAsia="zh-CN"/>
        </w:rPr>
      </w:pP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eastAsia="zh-CN"/>
        </w:rPr>
        <w:t>二</w:t>
      </w:r>
      <w:r>
        <w:rPr>
          <w:rFonts w:hint="eastAsia" w:ascii="楷体_GB2312" w:hAnsi="楷体_GB2312" w:eastAsia="楷体_GB2312" w:cs="楷体_GB2312"/>
          <w:b w:val="0"/>
          <w:bCs w:val="0"/>
          <w:color w:val="000000"/>
          <w:spacing w:val="0"/>
          <w:w w:val="100"/>
          <w:position w:val="0"/>
          <w:sz w:val="32"/>
          <w:szCs w:val="32"/>
        </w:rPr>
        <w:t>）基本原则</w:t>
      </w:r>
      <w:r>
        <w:rPr>
          <w:rFonts w:hint="eastAsia" w:ascii="楷体_GB2312" w:hAnsi="楷体_GB2312" w:eastAsia="楷体_GB2312" w:cs="楷体_GB2312"/>
          <w:b w:val="0"/>
          <w:bCs w:val="0"/>
          <w:color w:val="000000"/>
          <w:spacing w:val="0"/>
          <w:w w:val="100"/>
          <w:position w:val="0"/>
          <w:sz w:val="32"/>
          <w:szCs w:val="32"/>
          <w:lang w:eastAsia="zh-CN"/>
        </w:rPr>
        <w:t>。</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1.</w:t>
      </w:r>
      <w:r>
        <w:rPr>
          <w:rFonts w:hint="eastAsia" w:ascii="仿宋_GB2312" w:hAnsi="仿宋_GB2312" w:eastAsia="仿宋_GB2312" w:cs="仿宋_GB2312"/>
          <w:b w:val="0"/>
          <w:bCs w:val="0"/>
          <w:color w:val="000000"/>
          <w:spacing w:val="0"/>
          <w:w w:val="100"/>
          <w:position w:val="0"/>
          <w:sz w:val="32"/>
          <w:szCs w:val="32"/>
        </w:rPr>
        <w:t>坚持党的全面领导。加强党对残疾人工作的全面领导，进一步健全党委领导、政府负责、部门协同、社会参与、</w:t>
      </w:r>
      <w:r>
        <w:rPr>
          <w:rFonts w:hint="eastAsia" w:ascii="仿宋_GB2312" w:hAnsi="仿宋_GB2312" w:eastAsia="仿宋_GB2312" w:cs="仿宋_GB2312"/>
          <w:b w:val="0"/>
          <w:bCs w:val="0"/>
          <w:color w:val="000000"/>
          <w:spacing w:val="0"/>
          <w:w w:val="100"/>
          <w:position w:val="0"/>
          <w:sz w:val="32"/>
          <w:szCs w:val="32"/>
          <w:lang w:val="en-US" w:eastAsia="zh-CN"/>
        </w:rPr>
        <w:t>市</w:t>
      </w:r>
      <w:r>
        <w:rPr>
          <w:rFonts w:hint="eastAsia" w:ascii="仿宋_GB2312" w:hAnsi="仿宋_GB2312" w:eastAsia="仿宋_GB2312" w:cs="仿宋_GB2312"/>
          <w:b w:val="0"/>
          <w:bCs w:val="0"/>
          <w:color w:val="000000"/>
          <w:spacing w:val="0"/>
          <w:w w:val="100"/>
          <w:position w:val="0"/>
          <w:sz w:val="32"/>
          <w:szCs w:val="32"/>
        </w:rPr>
        <w:t>场推动、残疾人组织充分发挥作用的工作机制，把党的领导贯穿残疾人事业各个方面，确保全</w:t>
      </w:r>
      <w:r>
        <w:rPr>
          <w:rFonts w:hint="eastAsia" w:ascii="仿宋_GB2312" w:hAnsi="仿宋_GB2312" w:eastAsia="仿宋_GB2312" w:cs="仿宋_GB2312"/>
          <w:b w:val="0"/>
          <w:bCs w:val="0"/>
          <w:color w:val="000000"/>
          <w:spacing w:val="0"/>
          <w:w w:val="100"/>
          <w:position w:val="0"/>
          <w:sz w:val="32"/>
          <w:szCs w:val="32"/>
          <w:lang w:eastAsia="zh-CN"/>
        </w:rPr>
        <w:t>区</w:t>
      </w:r>
      <w:r>
        <w:rPr>
          <w:rFonts w:hint="eastAsia" w:ascii="仿宋_GB2312" w:hAnsi="仿宋_GB2312" w:eastAsia="仿宋_GB2312" w:cs="仿宋_GB2312"/>
          <w:b w:val="0"/>
          <w:bCs w:val="0"/>
          <w:color w:val="000000"/>
          <w:spacing w:val="0"/>
          <w:w w:val="100"/>
          <w:position w:val="0"/>
          <w:sz w:val="32"/>
          <w:szCs w:val="32"/>
        </w:rPr>
        <w:t>残疾人事业沿着正确的政治方向砥砺前行。</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2.</w:t>
      </w:r>
      <w:r>
        <w:rPr>
          <w:rFonts w:hint="eastAsia" w:ascii="仿宋_GB2312" w:hAnsi="仿宋_GB2312" w:eastAsia="仿宋_GB2312" w:cs="仿宋_GB2312"/>
          <w:b w:val="0"/>
          <w:bCs w:val="0"/>
          <w:color w:val="000000"/>
          <w:spacing w:val="0"/>
          <w:w w:val="100"/>
          <w:position w:val="0"/>
          <w:sz w:val="32"/>
          <w:szCs w:val="32"/>
        </w:rPr>
        <w:t>坚持以人民为中心。聚</w:t>
      </w:r>
      <w:r>
        <w:rPr>
          <w:rFonts w:hint="eastAsia" w:ascii="仿宋_GB2312" w:hAnsi="仿宋_GB2312" w:eastAsia="仿宋_GB2312" w:cs="仿宋_GB2312"/>
          <w:b w:val="0"/>
          <w:bCs w:val="0"/>
          <w:color w:val="000000"/>
          <w:spacing w:val="0"/>
          <w:w w:val="100"/>
          <w:position w:val="0"/>
          <w:sz w:val="32"/>
          <w:szCs w:val="32"/>
          <w:lang w:val="en-US" w:eastAsia="zh-CN"/>
        </w:rPr>
        <w:t>焦</w:t>
      </w:r>
      <w:r>
        <w:rPr>
          <w:rFonts w:hint="eastAsia" w:ascii="仿宋_GB2312" w:hAnsi="仿宋_GB2312" w:eastAsia="仿宋_GB2312" w:cs="仿宋_GB2312"/>
          <w:b w:val="0"/>
          <w:bCs w:val="0"/>
          <w:color w:val="000000"/>
          <w:spacing w:val="0"/>
          <w:w w:val="100"/>
          <w:position w:val="0"/>
          <w:sz w:val="32"/>
          <w:szCs w:val="32"/>
        </w:rPr>
        <w:t>残疾人全生命周期服务，着力解决残疾人急难愁盼问题，提升残疾人基本保障和公共服务水平，提高残疾人融入社会和自我发展能力，不断满足残疾人对美好生活的新期待。</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3.</w:t>
      </w:r>
      <w:r>
        <w:rPr>
          <w:rFonts w:hint="eastAsia" w:ascii="仿宋_GB2312" w:hAnsi="仿宋_GB2312" w:eastAsia="仿宋_GB2312" w:cs="仿宋_GB2312"/>
          <w:b w:val="0"/>
          <w:bCs w:val="0"/>
          <w:color w:val="000000"/>
          <w:spacing w:val="0"/>
          <w:w w:val="100"/>
          <w:position w:val="0"/>
          <w:sz w:val="32"/>
          <w:szCs w:val="32"/>
        </w:rPr>
        <w:t>坚持新发展理念。坚持残疾人事业高质量发展与经济社会现代化进程相协调、相适应。着力深化残疾人服务供给侧改革，强化残疾人事业人才培养、基层组织改革和服务创新、基础设施建设、科技信息化等基础保障条件，健全残疾人关爱服务体系。</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仿宋_GB2312" w:hAnsi="仿宋_GB2312" w:eastAsia="仿宋_GB2312" w:cs="仿宋_GB2312"/>
          <w:b w:val="0"/>
          <w:bCs w:val="0"/>
          <w:color w:val="000000"/>
          <w:spacing w:val="0"/>
          <w:w w:val="100"/>
          <w:position w:val="0"/>
          <w:sz w:val="32"/>
          <w:szCs w:val="32"/>
          <w:lang w:eastAsia="zh-CN"/>
        </w:rPr>
      </w:pPr>
      <w:r>
        <w:rPr>
          <w:rFonts w:hint="eastAsia" w:ascii="仿宋_GB2312" w:hAnsi="仿宋_GB2312" w:eastAsia="仿宋_GB2312" w:cs="仿宋_GB2312"/>
          <w:b w:val="0"/>
          <w:bCs w:val="0"/>
          <w:color w:val="000000"/>
          <w:spacing w:val="0"/>
          <w:w w:val="100"/>
          <w:position w:val="0"/>
          <w:sz w:val="32"/>
          <w:szCs w:val="32"/>
          <w:lang w:val="en-US" w:eastAsia="zh-CN"/>
        </w:rPr>
        <w:t>4.</w:t>
      </w:r>
      <w:r>
        <w:rPr>
          <w:rFonts w:hint="eastAsia" w:ascii="仿宋_GB2312" w:hAnsi="仿宋_GB2312" w:eastAsia="仿宋_GB2312" w:cs="仿宋_GB2312"/>
          <w:b w:val="0"/>
          <w:bCs w:val="0"/>
          <w:color w:val="000000"/>
          <w:spacing w:val="0"/>
          <w:w w:val="100"/>
          <w:position w:val="0"/>
          <w:sz w:val="32"/>
          <w:szCs w:val="32"/>
        </w:rPr>
        <w:t>坚持弱有所扶。着力完善残疾人帮扶制度，</w:t>
      </w:r>
      <w:r>
        <w:rPr>
          <w:rFonts w:hint="eastAsia" w:ascii="仿宋_GB2312" w:hAnsi="仿宋_GB2312" w:eastAsia="仿宋_GB2312" w:cs="仿宋_GB2312"/>
          <w:b w:val="0"/>
          <w:bCs w:val="0"/>
          <w:color w:val="000000"/>
          <w:spacing w:val="0"/>
          <w:w w:val="100"/>
          <w:position w:val="0"/>
          <w:sz w:val="32"/>
          <w:szCs w:val="32"/>
          <w:lang w:eastAsia="zh-CN"/>
        </w:rPr>
        <w:t>采</w:t>
      </w:r>
      <w:r>
        <w:rPr>
          <w:rFonts w:hint="eastAsia" w:ascii="仿宋_GB2312" w:hAnsi="仿宋_GB2312" w:eastAsia="仿宋_GB2312" w:cs="仿宋_GB2312"/>
          <w:b w:val="0"/>
          <w:bCs w:val="0"/>
          <w:color w:val="000000"/>
          <w:spacing w:val="0"/>
          <w:w w:val="100"/>
          <w:position w:val="0"/>
          <w:sz w:val="32"/>
          <w:szCs w:val="32"/>
        </w:rPr>
        <w:t>取普惠与特惠相结合的方式，织密扎牢残疾人民生保障安全网，堵漏洞、补短板、强弱项，提高残疾人保障水平，改善残疾人生活品质，促进残疾人全面发展、共同富裕。</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5.</w:t>
      </w:r>
      <w:r>
        <w:rPr>
          <w:rFonts w:hint="eastAsia" w:ascii="仿宋_GB2312" w:hAnsi="仿宋_GB2312" w:eastAsia="仿宋_GB2312" w:cs="仿宋_GB2312"/>
          <w:b w:val="0"/>
          <w:bCs w:val="0"/>
          <w:color w:val="000000"/>
          <w:spacing w:val="0"/>
          <w:w w:val="100"/>
          <w:position w:val="0"/>
          <w:sz w:val="32"/>
          <w:szCs w:val="32"/>
        </w:rPr>
        <w:t>坚持依法依规。着力推动残疾人基本权益全面落实，提高残疾人事业法治化水平。全面推进城</w:t>
      </w:r>
      <w:r>
        <w:rPr>
          <w:rFonts w:hint="eastAsia" w:ascii="仿宋_GB2312" w:hAnsi="仿宋_GB2312" w:eastAsia="仿宋_GB2312" w:cs="仿宋_GB2312"/>
          <w:b w:val="0"/>
          <w:bCs w:val="0"/>
          <w:color w:val="000000"/>
          <w:spacing w:val="0"/>
          <w:w w:val="100"/>
          <w:position w:val="0"/>
          <w:sz w:val="32"/>
          <w:szCs w:val="32"/>
          <w:lang w:eastAsia="zh-CN"/>
        </w:rPr>
        <w:t>区</w:t>
      </w:r>
      <w:r>
        <w:rPr>
          <w:rFonts w:hint="eastAsia" w:ascii="仿宋_GB2312" w:hAnsi="仿宋_GB2312" w:eastAsia="仿宋_GB2312" w:cs="仿宋_GB2312"/>
          <w:b w:val="0"/>
          <w:bCs w:val="0"/>
          <w:color w:val="000000"/>
          <w:spacing w:val="0"/>
          <w:w w:val="100"/>
          <w:position w:val="0"/>
          <w:sz w:val="32"/>
          <w:szCs w:val="32"/>
        </w:rPr>
        <w:t>无障碍环境建设，创造良好的融合环境。</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880"/>
        <w:jc w:val="both"/>
        <w:textAlignment w:val="auto"/>
        <w:rPr>
          <w:rFonts w:hint="eastAsia" w:ascii="仿宋_GB2312" w:hAnsi="仿宋_GB2312" w:eastAsia="仿宋_GB2312" w:cs="仿宋_GB2312"/>
          <w:b w:val="0"/>
          <w:bCs w:val="0"/>
          <w:color w:val="000000"/>
          <w:spacing w:val="0"/>
          <w:w w:val="100"/>
          <w:position w:val="0"/>
          <w:sz w:val="32"/>
          <w:szCs w:val="32"/>
        </w:rPr>
      </w:pPr>
      <w:bookmarkStart w:id="1" w:name="bookmark11"/>
      <w:r>
        <w:rPr>
          <w:rFonts w:hint="eastAsia" w:ascii="楷体_GB2312" w:hAnsi="楷体_GB2312" w:eastAsia="楷体_GB2312" w:cs="楷体_GB2312"/>
          <w:b w:val="0"/>
          <w:bCs w:val="0"/>
          <w:color w:val="000000"/>
          <w:spacing w:val="0"/>
          <w:w w:val="100"/>
          <w:position w:val="0"/>
          <w:sz w:val="32"/>
          <w:szCs w:val="32"/>
        </w:rPr>
        <w:t>（</w:t>
      </w:r>
      <w:bookmarkEnd w:id="1"/>
      <w:r>
        <w:rPr>
          <w:rFonts w:hint="eastAsia" w:ascii="楷体_GB2312" w:hAnsi="楷体_GB2312" w:eastAsia="楷体_GB2312" w:cs="楷体_GB2312"/>
          <w:b w:val="0"/>
          <w:bCs w:val="0"/>
          <w:color w:val="000000"/>
          <w:spacing w:val="0"/>
          <w:w w:val="100"/>
          <w:position w:val="0"/>
          <w:sz w:val="32"/>
          <w:szCs w:val="32"/>
        </w:rPr>
        <w:t>三）发展目标。</w:t>
      </w:r>
      <w:r>
        <w:rPr>
          <w:rFonts w:hint="eastAsia" w:ascii="仿宋_GB2312" w:hAnsi="仿宋_GB2312" w:eastAsia="仿宋_GB2312" w:cs="仿宋_GB2312"/>
          <w:b w:val="0"/>
          <w:bCs w:val="0"/>
          <w:color w:val="000000"/>
          <w:spacing w:val="0"/>
          <w:w w:val="100"/>
          <w:position w:val="0"/>
          <w:sz w:val="32"/>
          <w:szCs w:val="32"/>
        </w:rPr>
        <w:t>到2025年，实现巩固拓展残疾人脱贫攻坚成果同乡村振兴有效衔接，残疾人基本民生得到稳定保障，残疾人获得全生命周期服务，生活品质得到改善，民生福祉达到新水平。</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1.多层次的残疾人社会保障制度基本建立，残疾人基本生活保障网进一步织密扎牢，重度残疾人得到更好照护。</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2.残疾人基本公共服务体系更加健全，残疾人健康状况不断改善，受教育水平继续提高，文化体育有较大发展，实现更加充分更高质量的就业。</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3.无障碍的社会环境不断优化，社会力量参与更加广泛和深入，基层残疾人服务网络和社会支持网络更加完善，残疾人平等权利得到更好实现。</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仿宋" w:hAnsi="仿宋" w:eastAsia="仿宋" w:cs="仿宋"/>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4.残疾人基础保障条件进一步改善，治理体系和治理能力不断优化，质量效益明显提升。</w:t>
      </w:r>
    </w:p>
    <w:tbl>
      <w:tblPr>
        <w:tblStyle w:val="6"/>
        <w:tblW w:w="9725" w:type="dxa"/>
        <w:jc w:val="center"/>
        <w:shd w:val="clear" w:color="auto" w:fill="auto"/>
        <w:tblLayout w:type="fixed"/>
        <w:tblCellMar>
          <w:top w:w="0" w:type="dxa"/>
          <w:left w:w="10" w:type="dxa"/>
          <w:bottom w:w="0" w:type="dxa"/>
          <w:right w:w="10" w:type="dxa"/>
        </w:tblCellMar>
      </w:tblPr>
      <w:tblGrid>
        <w:gridCol w:w="6715"/>
        <w:gridCol w:w="900"/>
        <w:gridCol w:w="1020"/>
        <w:gridCol w:w="1090"/>
      </w:tblGrid>
      <w:tr>
        <w:tblPrEx>
          <w:tblCellMar>
            <w:top w:w="0" w:type="dxa"/>
            <w:left w:w="10" w:type="dxa"/>
            <w:bottom w:w="0" w:type="dxa"/>
            <w:right w:w="10" w:type="dxa"/>
          </w:tblCellMar>
        </w:tblPrEx>
        <w:trPr>
          <w:trHeight w:val="610" w:hRule="exact"/>
          <w:jc w:val="center"/>
        </w:trPr>
        <w:tc>
          <w:tcPr>
            <w:tcW w:w="9725" w:type="dxa"/>
            <w:gridSpan w:val="4"/>
            <w:tcBorders>
              <w:top w:val="single" w:color="auto" w:sz="4" w:space="0"/>
              <w:left w:val="single" w:color="auto" w:sz="4" w:space="0"/>
              <w:right w:val="single" w:color="auto" w:sz="4" w:space="0"/>
            </w:tcBorders>
            <w:shd w:val="clear" w:color="auto" w:fill="auto"/>
            <w:vAlign w:val="top"/>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spacing w:val="0"/>
                <w:w w:val="100"/>
                <w:position w:val="0"/>
                <w:sz w:val="32"/>
                <w:szCs w:val="32"/>
                <w:lang w:val="zh-CN" w:eastAsia="zh-CN" w:bidi="zh-CN"/>
              </w:rPr>
            </w:pPr>
            <w:r>
              <w:rPr>
                <w:rFonts w:hint="eastAsia" w:ascii="方正小标宋简体" w:hAnsi="方正小标宋简体" w:eastAsia="方正小标宋简体" w:cs="方正小标宋简体"/>
                <w:b w:val="0"/>
                <w:bCs w:val="0"/>
                <w:color w:val="000000"/>
                <w:spacing w:val="0"/>
                <w:w w:val="100"/>
                <w:position w:val="0"/>
                <w:sz w:val="32"/>
                <w:szCs w:val="32"/>
                <w:lang w:val="zh-CN" w:eastAsia="zh-CN" w:bidi="zh-CN"/>
              </w:rPr>
              <w:t>“十四五”残疾人事业发展主要指标</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val="0"/>
                <w:color w:val="000000"/>
                <w:spacing w:val="0"/>
                <w:w w:val="100"/>
                <w:position w:val="0"/>
                <w:sz w:val="28"/>
                <w:szCs w:val="28"/>
                <w:lang w:val="zh-CN" w:eastAsia="zh-CN" w:bidi="zh-CN"/>
              </w:rPr>
            </w:pPr>
            <w:r>
              <w:rPr>
                <w:rFonts w:hint="eastAsia" w:ascii="黑体" w:hAnsi="黑体" w:eastAsia="黑体" w:cs="黑体"/>
                <w:b w:val="0"/>
                <w:bCs w:val="0"/>
                <w:color w:val="000000"/>
                <w:spacing w:val="0"/>
                <w:w w:val="100"/>
                <w:position w:val="0"/>
                <w:sz w:val="28"/>
                <w:szCs w:val="28"/>
                <w:lang w:val="zh-CN" w:eastAsia="zh-CN" w:bidi="zh-CN"/>
              </w:rPr>
              <w:t>2020年</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val="0"/>
                <w:color w:val="000000"/>
                <w:spacing w:val="0"/>
                <w:w w:val="100"/>
                <w:position w:val="0"/>
                <w:sz w:val="28"/>
                <w:szCs w:val="28"/>
                <w:lang w:val="zh-CN" w:eastAsia="zh-CN" w:bidi="zh-CN"/>
              </w:rPr>
            </w:pPr>
            <w:r>
              <w:rPr>
                <w:rFonts w:hint="eastAsia" w:ascii="黑体" w:hAnsi="黑体" w:eastAsia="黑体" w:cs="黑体"/>
                <w:b w:val="0"/>
                <w:bCs w:val="0"/>
                <w:color w:val="000000"/>
                <w:spacing w:val="0"/>
                <w:w w:val="100"/>
                <w:position w:val="0"/>
                <w:sz w:val="28"/>
                <w:szCs w:val="28"/>
                <w:lang w:val="zh-CN" w:eastAsia="zh-CN" w:bidi="zh-CN"/>
              </w:rPr>
              <w:t>2025年</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val="0"/>
                <w:color w:val="000000"/>
                <w:spacing w:val="0"/>
                <w:w w:val="100"/>
                <w:position w:val="0"/>
                <w:sz w:val="28"/>
                <w:szCs w:val="28"/>
                <w:lang w:val="zh-CN" w:eastAsia="zh-CN" w:bidi="zh-CN"/>
              </w:rPr>
            </w:pPr>
            <w:r>
              <w:rPr>
                <w:rFonts w:hint="eastAsia" w:ascii="黑体" w:hAnsi="黑体" w:eastAsia="黑体" w:cs="黑体"/>
                <w:b w:val="0"/>
                <w:bCs w:val="0"/>
                <w:color w:val="000000"/>
                <w:spacing w:val="0"/>
                <w:w w:val="100"/>
                <w:position w:val="0"/>
                <w:sz w:val="28"/>
                <w:szCs w:val="28"/>
                <w:lang w:val="zh-CN" w:eastAsia="zh-CN" w:bidi="zh-CN"/>
              </w:rPr>
              <w:t>属性</w:t>
            </w:r>
          </w:p>
        </w:tc>
      </w:tr>
      <w:tr>
        <w:tblPrEx>
          <w:shd w:val="clear" w:color="auto" w:fill="auto"/>
          <w:tblCellMar>
            <w:top w:w="0" w:type="dxa"/>
            <w:left w:w="10" w:type="dxa"/>
            <w:bottom w:w="0" w:type="dxa"/>
            <w:right w:w="10" w:type="dxa"/>
          </w:tblCellMar>
        </w:tblPrEx>
        <w:trPr>
          <w:trHeight w:val="610" w:hRule="exact"/>
          <w:jc w:val="center"/>
        </w:trPr>
        <w:tc>
          <w:tcPr>
            <w:tcW w:w="6715" w:type="dxa"/>
            <w:tcBorders>
              <w:top w:val="single" w:color="auto" w:sz="4" w:space="0"/>
              <w:left w:val="single" w:color="auto" w:sz="4" w:space="0"/>
            </w:tcBorders>
            <w:shd w:val="clear" w:color="auto" w:fill="auto"/>
            <w:vAlign w:val="top"/>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黑体" w:hAnsi="黑体" w:eastAsia="黑体" w:cs="黑体"/>
                <w:b w:val="0"/>
                <w:bCs w:val="0"/>
                <w:color w:val="000000"/>
                <w:spacing w:val="0"/>
                <w:w w:val="100"/>
                <w:position w:val="0"/>
                <w:sz w:val="28"/>
                <w:szCs w:val="28"/>
                <w:lang w:val="zh-CN" w:eastAsia="zh-CN" w:bidi="zh-CN"/>
              </w:rPr>
            </w:pPr>
            <w:r>
              <w:rPr>
                <w:rFonts w:hint="eastAsia" w:ascii="黑体" w:hAnsi="黑体" w:eastAsia="黑体" w:cs="黑体"/>
                <w:b w:val="0"/>
                <w:bCs w:val="0"/>
                <w:color w:val="000000"/>
                <w:spacing w:val="0"/>
                <w:w w:val="100"/>
                <w:position w:val="0"/>
                <w:sz w:val="28"/>
                <w:szCs w:val="28"/>
                <w:lang w:val="zh-CN" w:eastAsia="zh-CN" w:bidi="zh-CN"/>
              </w:rPr>
              <w:t>指标</w:t>
            </w:r>
          </w:p>
        </w:tc>
        <w:tc>
          <w:tcPr>
            <w:tcW w:w="900" w:type="dxa"/>
            <w:tcBorders>
              <w:top w:val="single" w:color="auto" w:sz="4" w:space="0"/>
              <w:left w:val="single" w:color="auto" w:sz="4" w:space="0"/>
            </w:tcBorders>
            <w:shd w:val="clear" w:color="auto" w:fill="auto"/>
            <w:vAlign w:val="top"/>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黑体" w:hAnsi="黑体" w:eastAsia="黑体" w:cs="黑体"/>
                <w:b w:val="0"/>
                <w:bCs w:val="0"/>
                <w:color w:val="000000"/>
                <w:spacing w:val="0"/>
                <w:w w:val="100"/>
                <w:position w:val="0"/>
                <w:sz w:val="28"/>
                <w:szCs w:val="28"/>
                <w:lang w:val="zh-CN" w:eastAsia="zh-CN" w:bidi="zh-CN"/>
              </w:rPr>
            </w:pPr>
            <w:r>
              <w:rPr>
                <w:rFonts w:hint="eastAsia" w:ascii="黑体" w:hAnsi="黑体" w:eastAsia="黑体" w:cs="黑体"/>
                <w:b w:val="0"/>
                <w:bCs w:val="0"/>
                <w:color w:val="000000"/>
                <w:spacing w:val="0"/>
                <w:w w:val="100"/>
                <w:position w:val="0"/>
                <w:sz w:val="28"/>
                <w:szCs w:val="28"/>
                <w:lang w:val="zh-CN" w:eastAsia="zh-CN" w:bidi="zh-CN"/>
              </w:rPr>
              <w:t>2020年</w:t>
            </w:r>
          </w:p>
        </w:tc>
        <w:tc>
          <w:tcPr>
            <w:tcW w:w="1020" w:type="dxa"/>
            <w:tcBorders>
              <w:top w:val="single" w:color="auto" w:sz="4" w:space="0"/>
              <w:left w:val="single" w:color="auto" w:sz="4" w:space="0"/>
            </w:tcBorders>
            <w:shd w:val="clear" w:color="auto" w:fill="auto"/>
            <w:vAlign w:val="top"/>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黑体" w:hAnsi="黑体" w:eastAsia="黑体" w:cs="黑体"/>
                <w:b w:val="0"/>
                <w:bCs w:val="0"/>
                <w:color w:val="000000"/>
                <w:spacing w:val="0"/>
                <w:w w:val="100"/>
                <w:position w:val="0"/>
                <w:sz w:val="28"/>
                <w:szCs w:val="28"/>
                <w:lang w:val="zh-CN" w:eastAsia="zh-CN" w:bidi="zh-CN"/>
              </w:rPr>
            </w:pPr>
            <w:r>
              <w:rPr>
                <w:rFonts w:hint="eastAsia" w:ascii="黑体" w:hAnsi="黑体" w:eastAsia="黑体" w:cs="黑体"/>
                <w:b w:val="0"/>
                <w:bCs w:val="0"/>
                <w:color w:val="000000"/>
                <w:spacing w:val="0"/>
                <w:w w:val="100"/>
                <w:position w:val="0"/>
                <w:sz w:val="28"/>
                <w:szCs w:val="28"/>
                <w:lang w:val="zh-CN" w:eastAsia="zh-CN" w:bidi="zh-CN"/>
              </w:rPr>
              <w:t>2025年</w:t>
            </w:r>
          </w:p>
        </w:tc>
        <w:tc>
          <w:tcPr>
            <w:tcW w:w="1090" w:type="dxa"/>
            <w:tcBorders>
              <w:top w:val="single" w:color="auto" w:sz="4" w:space="0"/>
              <w:left w:val="single" w:color="auto" w:sz="4" w:space="0"/>
              <w:right w:val="single" w:color="auto" w:sz="4" w:space="0"/>
            </w:tcBorders>
            <w:shd w:val="clear" w:color="auto" w:fill="auto"/>
            <w:vAlign w:val="top"/>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黑体" w:hAnsi="黑体" w:eastAsia="黑体" w:cs="黑体"/>
                <w:b w:val="0"/>
                <w:bCs w:val="0"/>
                <w:color w:val="000000"/>
                <w:spacing w:val="0"/>
                <w:w w:val="100"/>
                <w:position w:val="0"/>
                <w:sz w:val="28"/>
                <w:szCs w:val="28"/>
                <w:lang w:val="zh-CN" w:eastAsia="zh-CN" w:bidi="zh-CN"/>
              </w:rPr>
            </w:pPr>
            <w:r>
              <w:rPr>
                <w:rFonts w:hint="eastAsia" w:ascii="黑体" w:hAnsi="黑体" w:eastAsia="黑体" w:cs="黑体"/>
                <w:b w:val="0"/>
                <w:bCs w:val="0"/>
                <w:color w:val="000000"/>
                <w:spacing w:val="0"/>
                <w:w w:val="100"/>
                <w:position w:val="0"/>
                <w:sz w:val="28"/>
                <w:szCs w:val="28"/>
                <w:lang w:val="zh-CN" w:eastAsia="zh-CN" w:bidi="zh-CN"/>
              </w:rPr>
              <w:t>属性</w:t>
            </w:r>
          </w:p>
        </w:tc>
      </w:tr>
      <w:tr>
        <w:tblPrEx>
          <w:shd w:val="clear" w:color="auto" w:fill="auto"/>
          <w:tblCellMar>
            <w:top w:w="0" w:type="dxa"/>
            <w:left w:w="10" w:type="dxa"/>
            <w:bottom w:w="0" w:type="dxa"/>
            <w:right w:w="10" w:type="dxa"/>
          </w:tblCellMar>
        </w:tblPrEx>
        <w:trPr>
          <w:trHeight w:val="624" w:hRule="exact"/>
          <w:jc w:val="center"/>
        </w:trPr>
        <w:tc>
          <w:tcPr>
            <w:tcW w:w="6715"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en-US" w:eastAsia="en-US"/>
              </w:rPr>
              <w:t>1.</w:t>
            </w:r>
            <w:r>
              <w:rPr>
                <w:rFonts w:hint="eastAsia" w:ascii="仿宋_GB2312" w:hAnsi="仿宋_GB2312" w:eastAsia="仿宋_GB2312" w:cs="仿宋_GB2312"/>
                <w:b w:val="0"/>
                <w:bCs w:val="0"/>
                <w:color w:val="000000"/>
                <w:spacing w:val="0"/>
                <w:w w:val="100"/>
                <w:position w:val="0"/>
                <w:sz w:val="28"/>
                <w:szCs w:val="28"/>
                <w:lang w:val="zh-CN" w:eastAsia="zh-CN"/>
              </w:rPr>
              <w:t>符合条件的残疾人纳入最低生活保障比例(%)</w:t>
            </w:r>
          </w:p>
        </w:tc>
        <w:tc>
          <w:tcPr>
            <w:tcW w:w="90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100</w:t>
            </w:r>
          </w:p>
        </w:tc>
        <w:tc>
          <w:tcPr>
            <w:tcW w:w="102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100</w:t>
            </w:r>
          </w:p>
        </w:tc>
        <w:tc>
          <w:tcPr>
            <w:tcW w:w="1090" w:type="dxa"/>
            <w:tcBorders>
              <w:top w:val="single" w:color="auto" w:sz="4" w:space="0"/>
              <w:left w:val="single" w:color="auto" w:sz="4" w:space="0"/>
              <w:righ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预期性</w:t>
            </w:r>
          </w:p>
        </w:tc>
      </w:tr>
      <w:tr>
        <w:tblPrEx>
          <w:shd w:val="clear" w:color="auto" w:fill="auto"/>
          <w:tblCellMar>
            <w:top w:w="0" w:type="dxa"/>
            <w:left w:w="10" w:type="dxa"/>
            <w:bottom w:w="0" w:type="dxa"/>
            <w:right w:w="10" w:type="dxa"/>
          </w:tblCellMar>
        </w:tblPrEx>
        <w:trPr>
          <w:trHeight w:val="605" w:hRule="exact"/>
          <w:jc w:val="center"/>
        </w:trPr>
        <w:tc>
          <w:tcPr>
            <w:tcW w:w="6715"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en-US" w:eastAsia="en-US"/>
              </w:rPr>
              <w:t>2.</w:t>
            </w:r>
            <w:r>
              <w:rPr>
                <w:rFonts w:hint="eastAsia" w:ascii="仿宋_GB2312" w:hAnsi="仿宋_GB2312" w:eastAsia="仿宋_GB2312" w:cs="仿宋_GB2312"/>
                <w:b w:val="0"/>
                <w:bCs w:val="0"/>
                <w:color w:val="000000"/>
                <w:spacing w:val="0"/>
                <w:w w:val="100"/>
                <w:position w:val="0"/>
                <w:sz w:val="28"/>
                <w:szCs w:val="28"/>
                <w:lang w:val="zh-CN" w:eastAsia="zh-CN"/>
              </w:rPr>
              <w:t>困难残疾人生活补贴覆盖率(%)</w:t>
            </w:r>
          </w:p>
        </w:tc>
        <w:tc>
          <w:tcPr>
            <w:tcW w:w="90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100</w:t>
            </w:r>
          </w:p>
        </w:tc>
        <w:tc>
          <w:tcPr>
            <w:tcW w:w="102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100</w:t>
            </w:r>
          </w:p>
        </w:tc>
        <w:tc>
          <w:tcPr>
            <w:tcW w:w="1090" w:type="dxa"/>
            <w:tcBorders>
              <w:top w:val="single" w:color="auto" w:sz="4" w:space="0"/>
              <w:left w:val="single" w:color="auto" w:sz="4" w:space="0"/>
              <w:righ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约束性</w:t>
            </w:r>
          </w:p>
        </w:tc>
      </w:tr>
      <w:tr>
        <w:tblPrEx>
          <w:shd w:val="clear" w:color="auto" w:fill="auto"/>
          <w:tblCellMar>
            <w:top w:w="0" w:type="dxa"/>
            <w:left w:w="10" w:type="dxa"/>
            <w:bottom w:w="0" w:type="dxa"/>
            <w:right w:w="10" w:type="dxa"/>
          </w:tblCellMar>
        </w:tblPrEx>
        <w:trPr>
          <w:trHeight w:val="605" w:hRule="exact"/>
          <w:jc w:val="center"/>
        </w:trPr>
        <w:tc>
          <w:tcPr>
            <w:tcW w:w="6715"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3.重度残疾人护理补贴覆盖率(%)</w:t>
            </w:r>
          </w:p>
        </w:tc>
        <w:tc>
          <w:tcPr>
            <w:tcW w:w="90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100</w:t>
            </w:r>
          </w:p>
        </w:tc>
        <w:tc>
          <w:tcPr>
            <w:tcW w:w="102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100</w:t>
            </w:r>
          </w:p>
        </w:tc>
        <w:tc>
          <w:tcPr>
            <w:tcW w:w="1090" w:type="dxa"/>
            <w:tcBorders>
              <w:top w:val="single" w:color="auto" w:sz="4" w:space="0"/>
              <w:left w:val="single" w:color="auto" w:sz="4" w:space="0"/>
              <w:righ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约束性</w:t>
            </w:r>
          </w:p>
        </w:tc>
      </w:tr>
      <w:tr>
        <w:tblPrEx>
          <w:shd w:val="clear" w:color="auto" w:fill="auto"/>
          <w:tblCellMar>
            <w:top w:w="0" w:type="dxa"/>
            <w:left w:w="10" w:type="dxa"/>
            <w:bottom w:w="0" w:type="dxa"/>
            <w:right w:w="10" w:type="dxa"/>
          </w:tblCellMar>
        </w:tblPrEx>
        <w:trPr>
          <w:trHeight w:val="605" w:hRule="exact"/>
          <w:jc w:val="center"/>
        </w:trPr>
        <w:tc>
          <w:tcPr>
            <w:tcW w:w="6715"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4.残疾人城乡居民基本养老保险参保率(%)</w:t>
            </w:r>
          </w:p>
        </w:tc>
        <w:tc>
          <w:tcPr>
            <w:tcW w:w="90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95</w:t>
            </w:r>
          </w:p>
        </w:tc>
        <w:tc>
          <w:tcPr>
            <w:tcW w:w="102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&gt;96</w:t>
            </w:r>
          </w:p>
        </w:tc>
        <w:tc>
          <w:tcPr>
            <w:tcW w:w="1090" w:type="dxa"/>
            <w:tcBorders>
              <w:top w:val="single" w:color="auto" w:sz="4" w:space="0"/>
              <w:left w:val="single" w:color="auto" w:sz="4" w:space="0"/>
              <w:righ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预期性</w:t>
            </w:r>
          </w:p>
        </w:tc>
      </w:tr>
      <w:tr>
        <w:tblPrEx>
          <w:shd w:val="clear" w:color="auto" w:fill="auto"/>
          <w:tblCellMar>
            <w:top w:w="0" w:type="dxa"/>
            <w:left w:w="10" w:type="dxa"/>
            <w:bottom w:w="0" w:type="dxa"/>
            <w:right w:w="10" w:type="dxa"/>
          </w:tblCellMar>
        </w:tblPrEx>
        <w:trPr>
          <w:trHeight w:val="600" w:hRule="exact"/>
          <w:jc w:val="center"/>
        </w:trPr>
        <w:tc>
          <w:tcPr>
            <w:tcW w:w="6715"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5.残疾人城乡居民基本医疗保险参保率(%)</w:t>
            </w:r>
          </w:p>
        </w:tc>
        <w:tc>
          <w:tcPr>
            <w:tcW w:w="90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97</w:t>
            </w:r>
          </w:p>
        </w:tc>
        <w:tc>
          <w:tcPr>
            <w:tcW w:w="102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&gt;98</w:t>
            </w:r>
          </w:p>
        </w:tc>
        <w:tc>
          <w:tcPr>
            <w:tcW w:w="1090" w:type="dxa"/>
            <w:tcBorders>
              <w:top w:val="single" w:color="auto" w:sz="4" w:space="0"/>
              <w:left w:val="single" w:color="auto" w:sz="4" w:space="0"/>
              <w:righ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预期性</w:t>
            </w:r>
          </w:p>
        </w:tc>
      </w:tr>
      <w:tr>
        <w:tblPrEx>
          <w:shd w:val="clear" w:color="auto" w:fill="auto"/>
          <w:tblCellMar>
            <w:top w:w="0" w:type="dxa"/>
            <w:left w:w="10" w:type="dxa"/>
            <w:bottom w:w="0" w:type="dxa"/>
            <w:right w:w="10" w:type="dxa"/>
          </w:tblCellMar>
        </w:tblPrEx>
        <w:trPr>
          <w:trHeight w:val="605" w:hRule="exact"/>
          <w:jc w:val="center"/>
        </w:trPr>
        <w:tc>
          <w:tcPr>
            <w:tcW w:w="6715"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6.残疾人基本康复服务覆盖率(%)</w:t>
            </w:r>
          </w:p>
        </w:tc>
        <w:tc>
          <w:tcPr>
            <w:tcW w:w="90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&gt;90</w:t>
            </w:r>
          </w:p>
        </w:tc>
        <w:tc>
          <w:tcPr>
            <w:tcW w:w="102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&gt;95</w:t>
            </w:r>
          </w:p>
        </w:tc>
        <w:tc>
          <w:tcPr>
            <w:tcW w:w="1090" w:type="dxa"/>
            <w:tcBorders>
              <w:top w:val="single" w:color="auto" w:sz="4" w:space="0"/>
              <w:left w:val="single" w:color="auto" w:sz="4" w:space="0"/>
              <w:righ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约束性</w:t>
            </w:r>
          </w:p>
        </w:tc>
      </w:tr>
      <w:tr>
        <w:tblPrEx>
          <w:shd w:val="clear" w:color="auto" w:fill="auto"/>
          <w:tblCellMar>
            <w:top w:w="0" w:type="dxa"/>
            <w:left w:w="10" w:type="dxa"/>
            <w:bottom w:w="0" w:type="dxa"/>
            <w:right w:w="10" w:type="dxa"/>
          </w:tblCellMar>
        </w:tblPrEx>
        <w:trPr>
          <w:trHeight w:val="605" w:hRule="exact"/>
          <w:jc w:val="center"/>
        </w:trPr>
        <w:tc>
          <w:tcPr>
            <w:tcW w:w="6715"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en-US" w:eastAsia="en-US"/>
              </w:rPr>
              <w:t>7.</w:t>
            </w:r>
            <w:r>
              <w:rPr>
                <w:rFonts w:hint="eastAsia" w:ascii="仿宋_GB2312" w:hAnsi="仿宋_GB2312" w:eastAsia="仿宋_GB2312" w:cs="仿宋_GB2312"/>
                <w:b w:val="0"/>
                <w:bCs w:val="0"/>
                <w:color w:val="000000"/>
                <w:spacing w:val="0"/>
                <w:w w:val="100"/>
                <w:position w:val="0"/>
                <w:sz w:val="28"/>
                <w:szCs w:val="28"/>
                <w:lang w:val="zh-CN" w:eastAsia="zh-CN"/>
              </w:rPr>
              <w:t>残疾人辅助器具适配率(%)</w:t>
            </w:r>
          </w:p>
        </w:tc>
        <w:tc>
          <w:tcPr>
            <w:tcW w:w="90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&gt;85</w:t>
            </w:r>
          </w:p>
        </w:tc>
        <w:tc>
          <w:tcPr>
            <w:tcW w:w="102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&gt;95</w:t>
            </w:r>
          </w:p>
        </w:tc>
        <w:tc>
          <w:tcPr>
            <w:tcW w:w="1090" w:type="dxa"/>
            <w:tcBorders>
              <w:top w:val="single" w:color="auto" w:sz="4" w:space="0"/>
              <w:left w:val="single" w:color="auto" w:sz="4" w:space="0"/>
              <w:righ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约束性</w:t>
            </w:r>
          </w:p>
        </w:tc>
      </w:tr>
      <w:tr>
        <w:tblPrEx>
          <w:shd w:val="clear" w:color="auto" w:fill="auto"/>
          <w:tblCellMar>
            <w:top w:w="0" w:type="dxa"/>
            <w:left w:w="10" w:type="dxa"/>
            <w:bottom w:w="0" w:type="dxa"/>
            <w:right w:w="10" w:type="dxa"/>
          </w:tblCellMar>
        </w:tblPrEx>
        <w:trPr>
          <w:trHeight w:val="598" w:hRule="exact"/>
          <w:jc w:val="center"/>
        </w:trPr>
        <w:tc>
          <w:tcPr>
            <w:tcW w:w="6715"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8.残疾儿童少年义务教育入学率(%)</w:t>
            </w:r>
          </w:p>
        </w:tc>
        <w:tc>
          <w:tcPr>
            <w:tcW w:w="90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&gt;95</w:t>
            </w:r>
          </w:p>
        </w:tc>
        <w:tc>
          <w:tcPr>
            <w:tcW w:w="102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&gt;99</w:t>
            </w:r>
          </w:p>
        </w:tc>
        <w:tc>
          <w:tcPr>
            <w:tcW w:w="1090" w:type="dxa"/>
            <w:tcBorders>
              <w:top w:val="single" w:color="auto" w:sz="4" w:space="0"/>
              <w:left w:val="single" w:color="auto" w:sz="4" w:space="0"/>
              <w:righ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预期性</w:t>
            </w:r>
          </w:p>
        </w:tc>
      </w:tr>
      <w:tr>
        <w:tblPrEx>
          <w:shd w:val="clear" w:color="auto" w:fill="auto"/>
          <w:tblCellMar>
            <w:top w:w="0" w:type="dxa"/>
            <w:left w:w="10" w:type="dxa"/>
            <w:bottom w:w="0" w:type="dxa"/>
            <w:right w:w="10" w:type="dxa"/>
          </w:tblCellMar>
        </w:tblPrEx>
        <w:trPr>
          <w:trHeight w:val="600" w:hRule="exact"/>
          <w:jc w:val="center"/>
        </w:trPr>
        <w:tc>
          <w:tcPr>
            <w:tcW w:w="6715"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9.城乡残疾人职业技能培训人数(人/次)</w:t>
            </w:r>
          </w:p>
        </w:tc>
        <w:tc>
          <w:tcPr>
            <w:tcW w:w="90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w:t>
            </w:r>
          </w:p>
        </w:tc>
        <w:tc>
          <w:tcPr>
            <w:tcW w:w="102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&gt;</w:t>
            </w:r>
            <w:r>
              <w:rPr>
                <w:rFonts w:hint="eastAsia" w:ascii="仿宋_GB2312" w:hAnsi="仿宋_GB2312" w:eastAsia="仿宋_GB2312" w:cs="仿宋_GB2312"/>
                <w:b w:val="0"/>
                <w:bCs w:val="0"/>
                <w:color w:val="000000"/>
                <w:spacing w:val="0"/>
                <w:w w:val="100"/>
                <w:position w:val="0"/>
                <w:sz w:val="28"/>
                <w:szCs w:val="28"/>
                <w:lang w:val="en-US" w:eastAsia="zh-CN"/>
              </w:rPr>
              <w:t>600</w:t>
            </w:r>
          </w:p>
        </w:tc>
        <w:tc>
          <w:tcPr>
            <w:tcW w:w="1090" w:type="dxa"/>
            <w:tcBorders>
              <w:top w:val="single" w:color="auto" w:sz="4" w:space="0"/>
              <w:left w:val="single" w:color="auto" w:sz="4" w:space="0"/>
              <w:righ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预期性</w:t>
            </w:r>
          </w:p>
        </w:tc>
      </w:tr>
      <w:tr>
        <w:tblPrEx>
          <w:shd w:val="clear" w:color="auto" w:fill="auto"/>
          <w:tblCellMar>
            <w:top w:w="0" w:type="dxa"/>
            <w:left w:w="10" w:type="dxa"/>
            <w:bottom w:w="0" w:type="dxa"/>
            <w:right w:w="10" w:type="dxa"/>
          </w:tblCellMar>
        </w:tblPrEx>
        <w:trPr>
          <w:trHeight w:val="610" w:hRule="exact"/>
          <w:jc w:val="center"/>
        </w:trPr>
        <w:tc>
          <w:tcPr>
            <w:tcW w:w="6715"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en-US" w:eastAsia="en-US"/>
              </w:rPr>
              <w:t>10.</w:t>
            </w:r>
            <w:r>
              <w:rPr>
                <w:rFonts w:hint="eastAsia" w:ascii="仿宋_GB2312" w:hAnsi="仿宋_GB2312" w:eastAsia="仿宋_GB2312" w:cs="仿宋_GB2312"/>
                <w:b w:val="0"/>
                <w:bCs w:val="0"/>
                <w:color w:val="000000"/>
                <w:spacing w:val="0"/>
                <w:w w:val="100"/>
                <w:position w:val="0"/>
                <w:sz w:val="28"/>
                <w:szCs w:val="28"/>
                <w:lang w:val="zh-CN" w:eastAsia="zh-CN"/>
              </w:rPr>
              <w:t>困难重度残疾人家庭无障碍改造数(户)</w:t>
            </w:r>
          </w:p>
        </w:tc>
        <w:tc>
          <w:tcPr>
            <w:tcW w:w="90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w:t>
            </w:r>
          </w:p>
        </w:tc>
        <w:tc>
          <w:tcPr>
            <w:tcW w:w="1020" w:type="dxa"/>
            <w:tcBorders>
              <w:top w:val="single" w:color="auto" w:sz="4" w:space="0"/>
              <w:lef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en-US" w:eastAsia="zh-CN"/>
              </w:rPr>
            </w:pPr>
            <w:r>
              <w:rPr>
                <w:rFonts w:hint="eastAsia" w:ascii="仿宋_GB2312" w:hAnsi="仿宋_GB2312" w:eastAsia="仿宋_GB2312" w:cs="仿宋_GB2312"/>
                <w:b w:val="0"/>
                <w:bCs w:val="0"/>
                <w:color w:val="000000"/>
                <w:spacing w:val="0"/>
                <w:w w:val="100"/>
                <w:position w:val="0"/>
                <w:sz w:val="28"/>
                <w:szCs w:val="28"/>
                <w:lang w:val="zh-CN" w:eastAsia="zh-CN"/>
              </w:rPr>
              <w:t>&gt;</w:t>
            </w:r>
            <w:r>
              <w:rPr>
                <w:rFonts w:hint="eastAsia" w:ascii="仿宋_GB2312" w:hAnsi="仿宋_GB2312" w:eastAsia="仿宋_GB2312" w:cs="仿宋_GB2312"/>
                <w:b w:val="0"/>
                <w:bCs w:val="0"/>
                <w:color w:val="000000"/>
                <w:spacing w:val="0"/>
                <w:w w:val="100"/>
                <w:position w:val="0"/>
                <w:sz w:val="28"/>
                <w:szCs w:val="28"/>
                <w:lang w:val="en-US" w:eastAsia="zh-CN"/>
              </w:rPr>
              <w:t>1500</w:t>
            </w:r>
          </w:p>
        </w:tc>
        <w:tc>
          <w:tcPr>
            <w:tcW w:w="1090" w:type="dxa"/>
            <w:tcBorders>
              <w:top w:val="single" w:color="auto" w:sz="4" w:space="0"/>
              <w:left w:val="single" w:color="auto" w:sz="4" w:space="0"/>
              <w:righ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约束性</w:t>
            </w:r>
          </w:p>
        </w:tc>
      </w:tr>
      <w:tr>
        <w:tblPrEx>
          <w:shd w:val="clear" w:color="auto" w:fill="auto"/>
          <w:tblCellMar>
            <w:top w:w="0" w:type="dxa"/>
            <w:left w:w="10" w:type="dxa"/>
            <w:bottom w:w="0" w:type="dxa"/>
            <w:right w:w="10" w:type="dxa"/>
          </w:tblCellMar>
        </w:tblPrEx>
        <w:trPr>
          <w:trHeight w:val="619" w:hRule="exact"/>
          <w:jc w:val="center"/>
        </w:trPr>
        <w:tc>
          <w:tcPr>
            <w:tcW w:w="6715" w:type="dxa"/>
            <w:tcBorders>
              <w:top w:val="single" w:color="auto" w:sz="4" w:space="0"/>
              <w:left w:val="single" w:color="auto" w:sz="4" w:space="0"/>
              <w:bottom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color w:val="000000"/>
                <w:spacing w:val="0"/>
                <w:w w:val="100"/>
                <w:position w:val="0"/>
                <w:sz w:val="28"/>
                <w:szCs w:val="28"/>
                <w:lang w:val="en-US" w:eastAsia="zh-CN"/>
              </w:rPr>
            </w:pPr>
            <w:r>
              <w:rPr>
                <w:rFonts w:hint="eastAsia" w:ascii="仿宋_GB2312" w:hAnsi="仿宋_GB2312" w:eastAsia="仿宋_GB2312" w:cs="仿宋_GB2312"/>
                <w:b w:val="0"/>
                <w:bCs w:val="0"/>
                <w:color w:val="000000"/>
                <w:spacing w:val="0"/>
                <w:w w:val="100"/>
                <w:position w:val="0"/>
                <w:sz w:val="28"/>
                <w:szCs w:val="28"/>
                <w:lang w:val="zh-CN" w:eastAsia="zh-CN"/>
              </w:rPr>
              <w:t>11.乡镇(街道)残疾人服务机构设置覆盖率</w:t>
            </w:r>
            <w:r>
              <w:rPr>
                <w:rFonts w:hint="eastAsia" w:ascii="仿宋_GB2312" w:hAnsi="仿宋_GB2312" w:eastAsia="仿宋_GB2312" w:cs="仿宋_GB2312"/>
                <w:b w:val="0"/>
                <w:bCs w:val="0"/>
                <w:color w:val="000000"/>
                <w:spacing w:val="0"/>
                <w:w w:val="100"/>
                <w:position w:val="0"/>
                <w:sz w:val="28"/>
                <w:szCs w:val="28"/>
                <w:lang w:val="en-US" w:eastAsia="zh-CN"/>
              </w:rPr>
              <w:t xml:space="preserve"> </w:t>
            </w:r>
            <w:r>
              <w:rPr>
                <w:rFonts w:hint="eastAsia" w:ascii="仿宋_GB2312" w:hAnsi="仿宋_GB2312" w:eastAsia="仿宋_GB2312" w:cs="仿宋_GB2312"/>
                <w:b w:val="0"/>
                <w:bCs w:val="0"/>
                <w:color w:val="000000"/>
                <w:spacing w:val="0"/>
                <w:w w:val="100"/>
                <w:position w:val="0"/>
                <w:sz w:val="28"/>
                <w:szCs w:val="28"/>
                <w:lang w:val="zh-CN" w:eastAsia="zh-CN"/>
              </w:rPr>
              <w:t>(%)</w:t>
            </w:r>
            <w:r>
              <w:rPr>
                <w:rFonts w:hint="eastAsia" w:ascii="仿宋_GB2312" w:hAnsi="仿宋_GB2312" w:eastAsia="仿宋_GB2312" w:cs="仿宋_GB2312"/>
                <w:b w:val="0"/>
                <w:bCs w:val="0"/>
                <w:color w:val="000000"/>
                <w:spacing w:val="0"/>
                <w:w w:val="100"/>
                <w:position w:val="0"/>
                <w:sz w:val="28"/>
                <w:szCs w:val="28"/>
                <w:lang w:val="en-US" w:eastAsia="zh-CN"/>
              </w:rPr>
              <w:t xml:space="preserve"> </w:t>
            </w:r>
          </w:p>
        </w:tc>
        <w:tc>
          <w:tcPr>
            <w:tcW w:w="900" w:type="dxa"/>
            <w:tcBorders>
              <w:top w:val="single" w:color="auto" w:sz="4" w:space="0"/>
              <w:left w:val="single" w:color="auto" w:sz="4" w:space="0"/>
              <w:bottom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w:t>
            </w:r>
          </w:p>
        </w:tc>
        <w:tc>
          <w:tcPr>
            <w:tcW w:w="1020" w:type="dxa"/>
            <w:tcBorders>
              <w:top w:val="single" w:color="auto" w:sz="4" w:space="0"/>
              <w:left w:val="single" w:color="auto" w:sz="4" w:space="0"/>
              <w:bottom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100</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8"/>
                <w:szCs w:val="28"/>
                <w:lang w:val="zh-CN" w:eastAsia="zh-CN"/>
              </w:rPr>
            </w:pPr>
            <w:r>
              <w:rPr>
                <w:rFonts w:hint="eastAsia" w:ascii="仿宋_GB2312" w:hAnsi="仿宋_GB2312" w:eastAsia="仿宋_GB2312" w:cs="仿宋_GB2312"/>
                <w:b w:val="0"/>
                <w:bCs w:val="0"/>
                <w:color w:val="000000"/>
                <w:spacing w:val="0"/>
                <w:w w:val="100"/>
                <w:position w:val="0"/>
                <w:sz w:val="28"/>
                <w:szCs w:val="28"/>
                <w:lang w:val="zh-CN" w:eastAsia="zh-CN"/>
              </w:rPr>
              <w:t>约束性</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320" w:firstLineChars="100"/>
        <w:jc w:val="left"/>
        <w:textAlignment w:val="auto"/>
        <w:rPr>
          <w:rFonts w:hint="eastAsia" w:ascii="黑体" w:hAnsi="黑体" w:eastAsia="黑体" w:cs="黑体"/>
          <w:b w:val="0"/>
          <w:bCs w:val="0"/>
          <w:color w:val="000000"/>
          <w:spacing w:val="0"/>
          <w:w w:val="100"/>
          <w:position w:val="0"/>
          <w:sz w:val="32"/>
          <w:szCs w:val="32"/>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960" w:firstLineChars="300"/>
        <w:jc w:val="left"/>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二、重点任务和主要措施</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楷体_GB2312" w:hAnsi="楷体_GB2312" w:eastAsia="楷体_GB2312" w:cs="楷体_GB2312"/>
          <w:b w:val="0"/>
          <w:bCs w:val="0"/>
          <w:color w:val="000000"/>
          <w:spacing w:val="0"/>
          <w:w w:val="100"/>
          <w:position w:val="0"/>
          <w:sz w:val="32"/>
          <w:szCs w:val="32"/>
        </w:rPr>
        <w:t>（一）健全残疾人社会保障体系，全面改善残疾人生活质量。</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楷体" w:hAnsi="楷体" w:eastAsia="楷体" w:cs="楷体"/>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巩固拓展脱贫攻坚成果同乡村振兴有效衔接。保持5年过渡期内残疾人帮扶政策总体稳定，将符合条件的残疾人纳入易返贫致贫监测范围，及时发现、及时帮扶、动态清零。充分发挥基层党组织核心引领作用，加强对残疾人的关爱服务。对符合条件的残疾人按规定纳入农村低保或特困人员救助供养范围，做到应保尽保、应兜尽兜。加强农村低收入残疾人家庭常态化帮扶，坚持开发式帮扶，加大精准培训、就业力度，增强有劳动能力残疾人内生动力。持续开展东西部残疾人工作协作，动员社会力量参与残疾人帮扶。</w:t>
      </w:r>
      <w:r>
        <w:rPr>
          <w:rFonts w:hint="eastAsia" w:ascii="楷体_GB2312" w:hAnsi="楷体_GB2312" w:eastAsia="楷体_GB2312" w:cs="楷体_GB2312"/>
          <w:b w:val="0"/>
          <w:bCs w:val="0"/>
          <w:color w:val="000000"/>
          <w:spacing w:val="0"/>
          <w:w w:val="100"/>
          <w:position w:val="0"/>
          <w:sz w:val="32"/>
          <w:szCs w:val="32"/>
        </w:rPr>
        <w:t>（牵头</w:t>
      </w:r>
      <w:r>
        <w:rPr>
          <w:rFonts w:hint="eastAsia" w:ascii="楷体_GB2312" w:hAnsi="楷体_GB2312" w:eastAsia="楷体_GB2312" w:cs="楷体_GB2312"/>
          <w:b w:val="0"/>
          <w:bCs w:val="0"/>
          <w:color w:val="000000"/>
          <w:spacing w:val="0"/>
          <w:w w:val="100"/>
          <w:position w:val="0"/>
          <w:sz w:val="32"/>
          <w:szCs w:val="32"/>
          <w:lang w:val="en-US" w:eastAsia="zh-CN"/>
        </w:rPr>
        <w:t>单位</w:t>
      </w:r>
      <w:r>
        <w:rPr>
          <w:rFonts w:hint="eastAsia" w:ascii="楷体_GB2312" w:hAnsi="楷体_GB2312" w:eastAsia="楷体_GB2312" w:cs="楷体_GB2312"/>
          <w:b w:val="0"/>
          <w:bCs w:val="0"/>
          <w:color w:val="000000"/>
          <w:spacing w:val="0"/>
          <w:w w:val="100"/>
          <w:position w:val="0"/>
          <w:sz w:val="32"/>
          <w:szCs w:val="32"/>
        </w:rPr>
        <w:t>：区乡村振兴局；</w:t>
      </w:r>
      <w:r>
        <w:rPr>
          <w:rFonts w:hint="eastAsia" w:ascii="楷体_GB2312" w:hAnsi="楷体_GB2312" w:eastAsia="楷体_GB2312" w:cs="楷体_GB2312"/>
          <w:b w:val="0"/>
          <w:bCs w:val="0"/>
          <w:color w:val="000000"/>
          <w:spacing w:val="0"/>
          <w:w w:val="100"/>
          <w:position w:val="0"/>
          <w:sz w:val="32"/>
          <w:szCs w:val="32"/>
          <w:lang w:val="en-US" w:eastAsia="zh-CN"/>
        </w:rPr>
        <w:t>责任单位</w:t>
      </w:r>
      <w:r>
        <w:rPr>
          <w:rFonts w:hint="eastAsia" w:ascii="楷体_GB2312" w:hAnsi="楷体_GB2312" w:eastAsia="楷体_GB2312" w:cs="楷体_GB2312"/>
          <w:b w:val="0"/>
          <w:bCs w:val="0"/>
          <w:color w:val="000000"/>
          <w:spacing w:val="0"/>
          <w:w w:val="100"/>
          <w:position w:val="0"/>
          <w:sz w:val="32"/>
          <w:szCs w:val="32"/>
        </w:rPr>
        <w:t>：区民政局、区财政局</w:t>
      </w:r>
      <w:r>
        <w:rPr>
          <w:rFonts w:hint="eastAsia" w:ascii="楷体_GB2312" w:hAnsi="楷体_GB2312" w:eastAsia="楷体_GB2312" w:cs="楷体_GB2312"/>
          <w:b w:val="0"/>
          <w:bCs w:val="0"/>
          <w:color w:val="000000"/>
          <w:spacing w:val="0"/>
          <w:w w:val="100"/>
          <w:position w:val="0"/>
          <w:sz w:val="32"/>
          <w:szCs w:val="32"/>
          <w:lang w:eastAsia="zh-CN"/>
        </w:rPr>
        <w:t>、</w:t>
      </w:r>
      <w:r>
        <w:rPr>
          <w:rFonts w:hint="eastAsia" w:ascii="楷体_GB2312" w:hAnsi="楷体_GB2312" w:eastAsia="楷体_GB2312" w:cs="楷体_GB2312"/>
          <w:b w:val="0"/>
          <w:bCs w:val="0"/>
          <w:color w:val="000000"/>
          <w:spacing w:val="0"/>
          <w:w w:val="100"/>
          <w:position w:val="0"/>
          <w:sz w:val="32"/>
          <w:szCs w:val="32"/>
        </w:rPr>
        <w:t>区残联）</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2.提高基层服务残疾人能力。实施</w:t>
      </w:r>
      <w:r>
        <w:rPr>
          <w:rFonts w:hint="eastAsia" w:ascii="仿宋_GB2312" w:hAnsi="仿宋_GB2312" w:eastAsia="仿宋_GB2312" w:cs="仿宋_GB2312"/>
          <w:b w:val="0"/>
          <w:bCs w:val="0"/>
          <w:color w:val="000000"/>
          <w:spacing w:val="0"/>
          <w:w w:val="100"/>
          <w:position w:val="0"/>
          <w:sz w:val="32"/>
          <w:szCs w:val="32"/>
          <w:lang w:val="en-US" w:eastAsia="zh-CN"/>
        </w:rPr>
        <w:t>区</w:t>
      </w:r>
      <w:r>
        <w:rPr>
          <w:rFonts w:hint="eastAsia" w:ascii="仿宋_GB2312" w:hAnsi="仿宋_GB2312" w:eastAsia="仿宋_GB2312" w:cs="仿宋_GB2312"/>
          <w:b w:val="0"/>
          <w:bCs w:val="0"/>
          <w:color w:val="000000"/>
          <w:spacing w:val="0"/>
          <w:w w:val="100"/>
          <w:position w:val="0"/>
          <w:sz w:val="32"/>
          <w:szCs w:val="32"/>
        </w:rPr>
        <w:t>域残疾人服务能力提升行动。加强部门联动，统筹服务资源，形成区、镇</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街</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、村（</w:t>
      </w:r>
      <w:r>
        <w:rPr>
          <w:rFonts w:hint="eastAsia" w:ascii="仿宋_GB2312" w:hAnsi="仿宋_GB2312" w:eastAsia="仿宋_GB2312" w:cs="仿宋_GB2312"/>
          <w:b w:val="0"/>
          <w:bCs w:val="0"/>
          <w:color w:val="000000"/>
          <w:spacing w:val="0"/>
          <w:w w:val="100"/>
          <w:position w:val="0"/>
          <w:sz w:val="32"/>
          <w:szCs w:val="32"/>
          <w:lang w:eastAsia="zh-CN"/>
        </w:rPr>
        <w:t>社区</w:t>
      </w:r>
      <w:r>
        <w:rPr>
          <w:rFonts w:hint="eastAsia" w:ascii="仿宋_GB2312" w:hAnsi="仿宋_GB2312" w:eastAsia="仿宋_GB2312" w:cs="仿宋_GB2312"/>
          <w:b w:val="0"/>
          <w:bCs w:val="0"/>
          <w:color w:val="000000"/>
          <w:spacing w:val="0"/>
          <w:w w:val="100"/>
          <w:position w:val="0"/>
          <w:sz w:val="32"/>
          <w:szCs w:val="32"/>
        </w:rPr>
        <w:t>）三级联动互补的基层残疾人服务网络。所有镇（街）和有条件的社区普遍建立“如康家园”残疾人之家综合服务平台，开展日间照料、辅助性就业、社区康复、文化体育、志愿助残等服务。将残疾人服务纳入城乡社区治理和服务体系建设，村（社区）将残疾人作为重点服务对象，开展走访探视、社区照顾、邻里互助等服务，实现“</w:t>
      </w:r>
      <w:r>
        <w:rPr>
          <w:rFonts w:hint="eastAsia" w:ascii="仿宋_GB2312" w:hAnsi="仿宋_GB2312" w:eastAsia="仿宋_GB2312" w:cs="仿宋_GB2312"/>
          <w:b w:val="0"/>
          <w:bCs w:val="0"/>
          <w:color w:val="000000"/>
          <w:spacing w:val="0"/>
          <w:w w:val="100"/>
          <w:position w:val="0"/>
          <w:sz w:val="32"/>
          <w:szCs w:val="32"/>
          <w:lang w:eastAsia="zh-CN"/>
        </w:rPr>
        <w:t>镇镇</w:t>
      </w:r>
      <w:r>
        <w:rPr>
          <w:rFonts w:hint="eastAsia" w:ascii="仿宋_GB2312" w:hAnsi="仿宋_GB2312" w:eastAsia="仿宋_GB2312" w:cs="仿宋_GB2312"/>
          <w:b w:val="0"/>
          <w:bCs w:val="0"/>
          <w:color w:val="000000"/>
          <w:spacing w:val="0"/>
          <w:w w:val="100"/>
          <w:position w:val="0"/>
          <w:sz w:val="32"/>
          <w:szCs w:val="32"/>
        </w:rPr>
        <w:t>有设施（机构）、村村有服务”。为特殊困难残疾人提供上门办、网上办、就近办、一次办等服务，真正让残疾人群众感受到社会的关爱和温暖。</w:t>
      </w:r>
      <w:r>
        <w:rPr>
          <w:rFonts w:hint="eastAsia" w:ascii="楷体_GB2312" w:hAnsi="楷体_GB2312" w:eastAsia="楷体_GB2312" w:cs="楷体_GB2312"/>
          <w:b w:val="0"/>
          <w:bCs w:val="0"/>
          <w:color w:val="000000"/>
          <w:spacing w:val="0"/>
          <w:w w:val="100"/>
          <w:position w:val="0"/>
          <w:sz w:val="32"/>
          <w:szCs w:val="32"/>
        </w:rPr>
        <w:t>（牵头</w:t>
      </w:r>
      <w:r>
        <w:rPr>
          <w:rFonts w:hint="eastAsia" w:ascii="楷体_GB2312" w:hAnsi="楷体_GB2312" w:eastAsia="楷体_GB2312" w:cs="楷体_GB2312"/>
          <w:b w:val="0"/>
          <w:bCs w:val="0"/>
          <w:color w:val="000000"/>
          <w:spacing w:val="0"/>
          <w:w w:val="100"/>
          <w:position w:val="0"/>
          <w:sz w:val="32"/>
          <w:szCs w:val="32"/>
          <w:lang w:val="en-US" w:eastAsia="zh-CN"/>
        </w:rPr>
        <w:t>单位</w:t>
      </w:r>
      <w:r>
        <w:rPr>
          <w:rFonts w:hint="eastAsia" w:ascii="楷体_GB2312" w:hAnsi="楷体_GB2312" w:eastAsia="楷体_GB2312" w:cs="楷体_GB2312"/>
          <w:b w:val="0"/>
          <w:bCs w:val="0"/>
          <w:color w:val="000000"/>
          <w:spacing w:val="0"/>
          <w:w w:val="100"/>
          <w:position w:val="0"/>
          <w:sz w:val="32"/>
          <w:szCs w:val="32"/>
        </w:rPr>
        <w:t>：区残联；</w:t>
      </w:r>
      <w:r>
        <w:rPr>
          <w:rFonts w:hint="eastAsia" w:ascii="楷体_GB2312" w:hAnsi="楷体_GB2312" w:eastAsia="楷体_GB2312" w:cs="楷体_GB2312"/>
          <w:b w:val="0"/>
          <w:bCs w:val="0"/>
          <w:color w:val="000000"/>
          <w:spacing w:val="0"/>
          <w:w w:val="100"/>
          <w:position w:val="0"/>
          <w:sz w:val="32"/>
          <w:szCs w:val="32"/>
          <w:lang w:val="en-US" w:eastAsia="zh-CN"/>
        </w:rPr>
        <w:t>责任单位</w:t>
      </w:r>
      <w:r>
        <w:rPr>
          <w:rFonts w:hint="eastAsia" w:ascii="楷体_GB2312" w:hAnsi="楷体_GB2312" w:eastAsia="楷体_GB2312" w:cs="楷体_GB2312"/>
          <w:b w:val="0"/>
          <w:bCs w:val="0"/>
          <w:color w:val="000000"/>
          <w:spacing w:val="0"/>
          <w:w w:val="100"/>
          <w:position w:val="0"/>
          <w:sz w:val="32"/>
          <w:szCs w:val="32"/>
        </w:rPr>
        <w:t>：区民政局、区财政局、区卫健</w:t>
      </w:r>
      <w:r>
        <w:rPr>
          <w:rFonts w:hint="eastAsia" w:ascii="楷体_GB2312" w:hAnsi="楷体_GB2312" w:eastAsia="楷体_GB2312" w:cs="楷体_GB2312"/>
          <w:b w:val="0"/>
          <w:bCs w:val="0"/>
          <w:color w:val="000000"/>
          <w:spacing w:val="0"/>
          <w:w w:val="100"/>
          <w:position w:val="0"/>
          <w:sz w:val="32"/>
          <w:szCs w:val="32"/>
          <w:lang w:val="en-US" w:eastAsia="zh-CN"/>
        </w:rPr>
        <w:t>局</w:t>
      </w:r>
      <w:r>
        <w:rPr>
          <w:rFonts w:hint="eastAsia" w:ascii="楷体_GB2312" w:hAnsi="楷体_GB2312" w:eastAsia="楷体_GB2312" w:cs="楷体_GB2312"/>
          <w:b w:val="0"/>
          <w:bCs w:val="0"/>
          <w:color w:val="000000"/>
          <w:spacing w:val="0"/>
          <w:w w:val="100"/>
          <w:position w:val="0"/>
          <w:sz w:val="32"/>
          <w:szCs w:val="32"/>
        </w:rPr>
        <w:t>、区乡村振兴局）</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3.完善残疾人社会福利制度。落实困难残疾人生活补贴和重度残疾人护理补贴标准动态调整机制，全面开展资格认定申请“跨省通办”。落实残疾人信息消费优惠和免费乘坐区内公共交通工具</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公共文化体育设施对残疾人免费或优惠开放等政策。加强残疾孤儿、事实无人抚养残疾儿童医疗、康复、教育等服务，合理确定基本生活费标准，提升儿童福利机构安全管理水平和服务质量。落实伤残军人和伤残民警抚恤优待。</w:t>
      </w:r>
      <w:r>
        <w:rPr>
          <w:rFonts w:hint="eastAsia" w:ascii="楷体_GB2312" w:hAnsi="楷体_GB2312" w:eastAsia="楷体_GB2312" w:cs="楷体_GB2312"/>
          <w:b w:val="0"/>
          <w:bCs w:val="0"/>
          <w:color w:val="000000"/>
          <w:spacing w:val="0"/>
          <w:w w:val="100"/>
          <w:position w:val="0"/>
          <w:sz w:val="32"/>
          <w:szCs w:val="32"/>
        </w:rPr>
        <w:t>（牵头</w:t>
      </w:r>
      <w:r>
        <w:rPr>
          <w:rFonts w:hint="eastAsia" w:ascii="楷体_GB2312" w:hAnsi="楷体_GB2312" w:eastAsia="楷体_GB2312" w:cs="楷体_GB2312"/>
          <w:b w:val="0"/>
          <w:bCs w:val="0"/>
          <w:color w:val="000000"/>
          <w:spacing w:val="0"/>
          <w:w w:val="100"/>
          <w:position w:val="0"/>
          <w:sz w:val="32"/>
          <w:szCs w:val="32"/>
          <w:lang w:val="en-US" w:eastAsia="zh-CN"/>
        </w:rPr>
        <w:t>单位</w:t>
      </w:r>
      <w:r>
        <w:rPr>
          <w:rFonts w:hint="eastAsia" w:ascii="楷体_GB2312" w:hAnsi="楷体_GB2312" w:eastAsia="楷体_GB2312" w:cs="楷体_GB2312"/>
          <w:b w:val="0"/>
          <w:bCs w:val="0"/>
          <w:color w:val="000000"/>
          <w:spacing w:val="0"/>
          <w:w w:val="100"/>
          <w:position w:val="0"/>
          <w:sz w:val="32"/>
          <w:szCs w:val="32"/>
        </w:rPr>
        <w:t>：区残联；</w:t>
      </w:r>
      <w:r>
        <w:rPr>
          <w:rFonts w:hint="eastAsia" w:ascii="楷体_GB2312" w:hAnsi="楷体_GB2312" w:eastAsia="楷体_GB2312" w:cs="楷体_GB2312"/>
          <w:b w:val="0"/>
          <w:bCs w:val="0"/>
          <w:color w:val="000000"/>
          <w:spacing w:val="0"/>
          <w:w w:val="100"/>
          <w:position w:val="0"/>
          <w:sz w:val="32"/>
          <w:szCs w:val="32"/>
          <w:lang w:val="en-US" w:eastAsia="zh-CN"/>
        </w:rPr>
        <w:t>责任单位</w:t>
      </w:r>
      <w:r>
        <w:rPr>
          <w:rFonts w:hint="eastAsia" w:ascii="楷体_GB2312" w:hAnsi="楷体_GB2312" w:eastAsia="楷体_GB2312" w:cs="楷体_GB2312"/>
          <w:b w:val="0"/>
          <w:bCs w:val="0"/>
          <w:color w:val="000000"/>
          <w:spacing w:val="0"/>
          <w:w w:val="100"/>
          <w:position w:val="0"/>
          <w:sz w:val="32"/>
          <w:szCs w:val="32"/>
        </w:rPr>
        <w:t>：区财政局、区民政局、区卫健</w:t>
      </w:r>
      <w:r>
        <w:rPr>
          <w:rFonts w:hint="eastAsia" w:ascii="楷体_GB2312" w:hAnsi="楷体_GB2312" w:eastAsia="楷体_GB2312" w:cs="楷体_GB2312"/>
          <w:b w:val="0"/>
          <w:bCs w:val="0"/>
          <w:color w:val="000000"/>
          <w:spacing w:val="0"/>
          <w:w w:val="100"/>
          <w:position w:val="0"/>
          <w:sz w:val="32"/>
          <w:szCs w:val="32"/>
          <w:lang w:val="en-US" w:eastAsia="zh-CN"/>
        </w:rPr>
        <w:t>局</w:t>
      </w:r>
      <w:r>
        <w:rPr>
          <w:rFonts w:hint="eastAsia" w:ascii="楷体_GB2312" w:hAnsi="楷体_GB2312" w:eastAsia="楷体_GB2312" w:cs="楷体_GB2312"/>
          <w:b w:val="0"/>
          <w:bCs w:val="0"/>
          <w:color w:val="000000"/>
          <w:spacing w:val="0"/>
          <w:w w:val="100"/>
          <w:position w:val="0"/>
          <w:sz w:val="32"/>
          <w:szCs w:val="32"/>
        </w:rPr>
        <w:t>、区交运局、区文旅局</w:t>
      </w:r>
      <w:r>
        <w:rPr>
          <w:rFonts w:hint="eastAsia" w:ascii="楷体_GB2312" w:hAnsi="楷体_GB2312" w:eastAsia="楷体_GB2312" w:cs="楷体_GB2312"/>
          <w:b w:val="0"/>
          <w:bCs w:val="0"/>
          <w:color w:val="000000"/>
          <w:spacing w:val="0"/>
          <w:w w:val="100"/>
          <w:position w:val="0"/>
          <w:sz w:val="32"/>
          <w:szCs w:val="32"/>
          <w:lang w:eastAsia="zh-CN"/>
        </w:rPr>
        <w:t>、</w:t>
      </w:r>
      <w:r>
        <w:rPr>
          <w:rFonts w:hint="eastAsia" w:ascii="楷体_GB2312" w:hAnsi="楷体_GB2312" w:eastAsia="楷体_GB2312" w:cs="楷体_GB2312"/>
          <w:b w:val="0"/>
          <w:bCs w:val="0"/>
          <w:color w:val="000000"/>
          <w:spacing w:val="0"/>
          <w:w w:val="100"/>
          <w:position w:val="0"/>
          <w:sz w:val="32"/>
          <w:szCs w:val="32"/>
        </w:rPr>
        <w:t>区退役军人事务局、区教体局）</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楷体" w:hAnsi="楷体" w:eastAsia="楷体" w:cs="楷体"/>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4.加快发展残疾人照护和托养服务。推广将残疾人托养纳入养老服务体系做法，完善养老服务机构功能，接收符合条件的老年残疾人。继续实施“阳光家园计划”，充分发挥“如康家园”服务功能，逐步完善扶持政策，不断扩大托养照护覆盖面。研究制定重度残疾人照护服务实施意见。聚焦有需求的农村残疾人群体，学习莘县“邻里互助”、单县“四护一保”等做法，开展多种形式的社会化照护服务。</w:t>
      </w:r>
      <w:r>
        <w:rPr>
          <w:rFonts w:hint="eastAsia" w:ascii="楷体_GB2312" w:hAnsi="楷体_GB2312" w:eastAsia="楷体_GB2312" w:cs="楷体_GB2312"/>
          <w:b w:val="0"/>
          <w:bCs w:val="0"/>
          <w:color w:val="000000"/>
          <w:spacing w:val="0"/>
          <w:w w:val="100"/>
          <w:position w:val="0"/>
          <w:sz w:val="32"/>
          <w:szCs w:val="32"/>
        </w:rPr>
        <w:t>（牵头</w:t>
      </w:r>
      <w:r>
        <w:rPr>
          <w:rFonts w:hint="eastAsia" w:ascii="楷体_GB2312" w:hAnsi="楷体_GB2312" w:eastAsia="楷体_GB2312" w:cs="楷体_GB2312"/>
          <w:b w:val="0"/>
          <w:bCs w:val="0"/>
          <w:color w:val="000000"/>
          <w:spacing w:val="0"/>
          <w:w w:val="100"/>
          <w:position w:val="0"/>
          <w:sz w:val="32"/>
          <w:szCs w:val="32"/>
          <w:lang w:val="en-US" w:eastAsia="zh-CN"/>
        </w:rPr>
        <w:t>单位</w:t>
      </w:r>
      <w:r>
        <w:rPr>
          <w:rFonts w:hint="eastAsia" w:ascii="楷体_GB2312" w:hAnsi="楷体_GB2312" w:eastAsia="楷体_GB2312" w:cs="楷体_GB2312"/>
          <w:b w:val="0"/>
          <w:bCs w:val="0"/>
          <w:color w:val="000000"/>
          <w:spacing w:val="0"/>
          <w:w w:val="100"/>
          <w:position w:val="0"/>
          <w:sz w:val="32"/>
          <w:szCs w:val="32"/>
        </w:rPr>
        <w:t>：区民政局、区残联；</w:t>
      </w:r>
      <w:r>
        <w:rPr>
          <w:rFonts w:hint="eastAsia" w:ascii="楷体_GB2312" w:hAnsi="楷体_GB2312" w:eastAsia="楷体_GB2312" w:cs="楷体_GB2312"/>
          <w:b w:val="0"/>
          <w:bCs w:val="0"/>
          <w:color w:val="000000"/>
          <w:spacing w:val="0"/>
          <w:w w:val="100"/>
          <w:position w:val="0"/>
          <w:sz w:val="32"/>
          <w:szCs w:val="32"/>
          <w:lang w:val="en-US" w:eastAsia="zh-CN"/>
        </w:rPr>
        <w:t>责任单位</w:t>
      </w:r>
      <w:r>
        <w:rPr>
          <w:rFonts w:hint="eastAsia" w:ascii="楷体_GB2312" w:hAnsi="楷体_GB2312" w:eastAsia="楷体_GB2312" w:cs="楷体_GB2312"/>
          <w:b w:val="0"/>
          <w:bCs w:val="0"/>
          <w:color w:val="000000"/>
          <w:spacing w:val="0"/>
          <w:w w:val="100"/>
          <w:position w:val="0"/>
          <w:sz w:val="32"/>
          <w:szCs w:val="32"/>
        </w:rPr>
        <w:t>：区卫健</w:t>
      </w:r>
      <w:r>
        <w:rPr>
          <w:rFonts w:hint="eastAsia" w:ascii="楷体_GB2312" w:hAnsi="楷体_GB2312" w:eastAsia="楷体_GB2312" w:cs="楷体_GB2312"/>
          <w:b w:val="0"/>
          <w:bCs w:val="0"/>
          <w:color w:val="000000"/>
          <w:spacing w:val="0"/>
          <w:w w:val="100"/>
          <w:position w:val="0"/>
          <w:sz w:val="32"/>
          <w:szCs w:val="32"/>
          <w:lang w:val="en-US" w:eastAsia="zh-CN"/>
        </w:rPr>
        <w:t>局</w:t>
      </w:r>
      <w:r>
        <w:rPr>
          <w:rFonts w:hint="eastAsia" w:ascii="楷体_GB2312" w:hAnsi="楷体_GB2312" w:eastAsia="楷体_GB2312" w:cs="楷体_GB2312"/>
          <w:b w:val="0"/>
          <w:bCs w:val="0"/>
          <w:color w:val="000000"/>
          <w:spacing w:val="0"/>
          <w:w w:val="100"/>
          <w:position w:val="0"/>
          <w:sz w:val="32"/>
          <w:szCs w:val="32"/>
        </w:rPr>
        <w:t>、区乡村振兴局）</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楷体" w:hAnsi="楷体" w:eastAsia="楷体" w:cs="楷体"/>
          <w:b w:val="0"/>
          <w:bCs w:val="0"/>
          <w:color w:val="000000"/>
          <w:spacing w:val="0"/>
          <w:w w:val="100"/>
          <w:position w:val="0"/>
          <w:sz w:val="32"/>
          <w:szCs w:val="32"/>
          <w:lang w:eastAsia="zh-CN"/>
        </w:rPr>
      </w:pPr>
      <w:r>
        <w:rPr>
          <w:rFonts w:hint="eastAsia" w:ascii="仿宋_GB2312" w:hAnsi="仿宋_GB2312" w:eastAsia="仿宋_GB2312" w:cs="仿宋_GB2312"/>
          <w:b w:val="0"/>
          <w:bCs w:val="0"/>
          <w:color w:val="000000"/>
          <w:spacing w:val="0"/>
          <w:w w:val="100"/>
          <w:position w:val="0"/>
          <w:sz w:val="32"/>
          <w:szCs w:val="32"/>
        </w:rPr>
        <w:t>5.扩大残疾人保险覆盖范围。落实重度残疾人参加城乡居民基本养老保险、符合政策的困难重度残疾人参加基本医疗保险缴费补贴政策。对符合条件的灵活就业残疾人、安置残疾人就业单位，落实社会保险补贴。对依法参加失业保险且符合领取条件的失业残疾人，及时发放失业保险金或失业补助金。将严重精神障碍纳入职工、居民医保门诊慢特病保障范围。鼓励有条件的地方为残疾人购买人身意外伤害保险。</w:t>
      </w:r>
      <w:r>
        <w:rPr>
          <w:rFonts w:hint="eastAsia" w:ascii="楷体_GB2312" w:hAnsi="楷体_GB2312" w:eastAsia="楷体_GB2312" w:cs="楷体_GB2312"/>
          <w:b w:val="0"/>
          <w:bCs w:val="0"/>
          <w:color w:val="000000"/>
          <w:spacing w:val="0"/>
          <w:w w:val="100"/>
          <w:position w:val="0"/>
          <w:sz w:val="32"/>
          <w:szCs w:val="32"/>
        </w:rPr>
        <w:t>（牵头</w:t>
      </w:r>
      <w:r>
        <w:rPr>
          <w:rFonts w:hint="eastAsia" w:ascii="楷体_GB2312" w:hAnsi="楷体_GB2312" w:eastAsia="楷体_GB2312" w:cs="楷体_GB2312"/>
          <w:b w:val="0"/>
          <w:bCs w:val="0"/>
          <w:color w:val="000000"/>
          <w:spacing w:val="0"/>
          <w:w w:val="100"/>
          <w:position w:val="0"/>
          <w:sz w:val="32"/>
          <w:szCs w:val="32"/>
          <w:lang w:val="en-US" w:eastAsia="zh-CN"/>
        </w:rPr>
        <w:t>单位</w:t>
      </w:r>
      <w:r>
        <w:rPr>
          <w:rFonts w:hint="eastAsia" w:ascii="楷体_GB2312" w:hAnsi="楷体_GB2312" w:eastAsia="楷体_GB2312" w:cs="楷体_GB2312"/>
          <w:b w:val="0"/>
          <w:bCs w:val="0"/>
          <w:color w:val="000000"/>
          <w:spacing w:val="0"/>
          <w:w w:val="100"/>
          <w:position w:val="0"/>
          <w:sz w:val="32"/>
          <w:szCs w:val="32"/>
        </w:rPr>
        <w:t>：区人社局、区医保局；</w:t>
      </w:r>
      <w:r>
        <w:rPr>
          <w:rFonts w:hint="eastAsia" w:ascii="楷体_GB2312" w:hAnsi="楷体_GB2312" w:eastAsia="楷体_GB2312" w:cs="楷体_GB2312"/>
          <w:b w:val="0"/>
          <w:bCs w:val="0"/>
          <w:color w:val="000000"/>
          <w:spacing w:val="0"/>
          <w:w w:val="100"/>
          <w:position w:val="0"/>
          <w:sz w:val="32"/>
          <w:szCs w:val="32"/>
          <w:lang w:val="en-US" w:eastAsia="zh-CN"/>
        </w:rPr>
        <w:t>责任单位</w:t>
      </w:r>
      <w:r>
        <w:rPr>
          <w:rFonts w:hint="eastAsia" w:ascii="楷体_GB2312" w:hAnsi="楷体_GB2312" w:eastAsia="楷体_GB2312" w:cs="楷体_GB2312"/>
          <w:b w:val="0"/>
          <w:bCs w:val="0"/>
          <w:color w:val="000000"/>
          <w:spacing w:val="0"/>
          <w:w w:val="100"/>
          <w:position w:val="0"/>
          <w:sz w:val="32"/>
          <w:szCs w:val="32"/>
        </w:rPr>
        <w:t>：区残联、</w:t>
      </w:r>
      <w:r>
        <w:rPr>
          <w:rFonts w:hint="eastAsia" w:ascii="楷体_GB2312" w:hAnsi="楷体_GB2312" w:eastAsia="楷体_GB2312" w:cs="楷体_GB2312"/>
          <w:b w:val="0"/>
          <w:bCs w:val="0"/>
          <w:color w:val="000000"/>
          <w:spacing w:val="0"/>
          <w:w w:val="100"/>
          <w:position w:val="0"/>
          <w:sz w:val="32"/>
          <w:szCs w:val="32"/>
          <w:lang w:val="en-US" w:eastAsia="zh-CN"/>
        </w:rPr>
        <w:t>区金融服务中心</w:t>
      </w:r>
      <w:r>
        <w:rPr>
          <w:rFonts w:hint="eastAsia" w:ascii="楷体_GB2312" w:hAnsi="楷体_GB2312" w:eastAsia="楷体_GB2312" w:cs="楷体_GB2312"/>
          <w:b w:val="0"/>
          <w:bCs w:val="0"/>
          <w:color w:val="000000"/>
          <w:spacing w:val="0"/>
          <w:w w:val="100"/>
          <w:position w:val="0"/>
          <w:sz w:val="32"/>
          <w:szCs w:val="32"/>
        </w:rPr>
        <w:t>）</w:t>
      </w:r>
      <w:r>
        <w:rPr>
          <w:rFonts w:hint="eastAsia" w:ascii="楷体" w:hAnsi="楷体" w:eastAsia="楷体" w:cs="楷体"/>
          <w:b w:val="0"/>
          <w:bCs w:val="0"/>
          <w:color w:val="000000"/>
          <w:spacing w:val="0"/>
          <w:w w:val="100"/>
          <w:position w:val="0"/>
          <w:sz w:val="32"/>
          <w:szCs w:val="32"/>
        </w:rPr>
        <w:t xml:space="preserve"> </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6.强化残疾人救助和保护力度。将符合条件的低保边缘家庭中的残疾人及时纳入最低生活保障范围。稳步提高医疗救助水平，强化医疗救助与基本医疗保险、大病保险的衔接，</w:t>
      </w:r>
      <w:r>
        <w:rPr>
          <w:rFonts w:hint="eastAsia" w:ascii="仿宋_GB2312" w:hAnsi="仿宋_GB2312" w:eastAsia="仿宋_GB2312" w:cs="仿宋_GB2312"/>
          <w:b w:val="0"/>
          <w:bCs w:val="0"/>
          <w:color w:val="000000"/>
          <w:spacing w:val="0"/>
          <w:w w:val="100"/>
          <w:position w:val="0"/>
          <w:sz w:val="32"/>
          <w:szCs w:val="32"/>
          <w:lang w:val="en-US" w:eastAsia="zh-CN"/>
        </w:rPr>
        <w:t>对符合条件的困难残疾人，按规定进行救助，</w:t>
      </w:r>
      <w:r>
        <w:rPr>
          <w:rFonts w:hint="eastAsia" w:ascii="仿宋_GB2312" w:hAnsi="仿宋_GB2312" w:eastAsia="仿宋_GB2312" w:cs="仿宋_GB2312"/>
          <w:b w:val="0"/>
          <w:bCs w:val="0"/>
          <w:color w:val="000000"/>
          <w:spacing w:val="0"/>
          <w:w w:val="100"/>
          <w:position w:val="0"/>
          <w:sz w:val="32"/>
          <w:szCs w:val="32"/>
        </w:rPr>
        <w:t>减轻困难残疾人医疗费用个人负担。加大困难残疾人临时救助，及时解决残疾人突发性、紧迫性、临时性生活困难，对重度残疾人依据困难类型、困难程度实施类别化、差异化救助。加强重大疫情、自然灾害、安全事故等突发公共事件中对残疾人的保护，应急方案中将残疾人列为优先保护对象。村（社区）探索建立结对帮扶制度，帮助残疾人更好应对突发灾害事故。</w:t>
      </w:r>
      <w:r>
        <w:rPr>
          <w:rFonts w:hint="eastAsia" w:ascii="楷体_GB2312" w:hAnsi="楷体_GB2312" w:eastAsia="楷体_GB2312" w:cs="楷体_GB2312"/>
          <w:b w:val="0"/>
          <w:bCs w:val="0"/>
          <w:color w:val="000000"/>
          <w:spacing w:val="0"/>
          <w:w w:val="100"/>
          <w:position w:val="0"/>
          <w:sz w:val="32"/>
          <w:szCs w:val="32"/>
        </w:rPr>
        <w:t>（牵头</w:t>
      </w:r>
      <w:r>
        <w:rPr>
          <w:rFonts w:hint="eastAsia" w:ascii="楷体_GB2312" w:hAnsi="楷体_GB2312" w:eastAsia="楷体_GB2312" w:cs="楷体_GB2312"/>
          <w:b w:val="0"/>
          <w:bCs w:val="0"/>
          <w:color w:val="000000"/>
          <w:spacing w:val="0"/>
          <w:w w:val="100"/>
          <w:position w:val="0"/>
          <w:sz w:val="32"/>
          <w:szCs w:val="32"/>
          <w:lang w:val="en-US" w:eastAsia="zh-CN"/>
        </w:rPr>
        <w:t>单位</w:t>
      </w:r>
      <w:r>
        <w:rPr>
          <w:rFonts w:hint="eastAsia" w:ascii="楷体_GB2312" w:hAnsi="楷体_GB2312" w:eastAsia="楷体_GB2312" w:cs="楷体_GB2312"/>
          <w:b w:val="0"/>
          <w:bCs w:val="0"/>
          <w:color w:val="000000"/>
          <w:spacing w:val="0"/>
          <w:w w:val="100"/>
          <w:position w:val="0"/>
          <w:sz w:val="32"/>
          <w:szCs w:val="32"/>
        </w:rPr>
        <w:t>：区民政局、区残联；</w:t>
      </w:r>
      <w:r>
        <w:rPr>
          <w:rFonts w:hint="eastAsia" w:ascii="楷体_GB2312" w:hAnsi="楷体_GB2312" w:eastAsia="楷体_GB2312" w:cs="楷体_GB2312"/>
          <w:b w:val="0"/>
          <w:bCs w:val="0"/>
          <w:color w:val="000000"/>
          <w:spacing w:val="0"/>
          <w:w w:val="100"/>
          <w:position w:val="0"/>
          <w:sz w:val="32"/>
          <w:szCs w:val="32"/>
          <w:lang w:val="en-US" w:eastAsia="zh-CN"/>
        </w:rPr>
        <w:t>责任单位</w:t>
      </w:r>
      <w:r>
        <w:rPr>
          <w:rFonts w:hint="eastAsia" w:ascii="楷体_GB2312" w:hAnsi="楷体_GB2312" w:eastAsia="楷体_GB2312" w:cs="楷体_GB2312"/>
          <w:b w:val="0"/>
          <w:bCs w:val="0"/>
          <w:color w:val="000000"/>
          <w:spacing w:val="0"/>
          <w:w w:val="100"/>
          <w:position w:val="0"/>
          <w:sz w:val="32"/>
          <w:szCs w:val="32"/>
        </w:rPr>
        <w:t>：区卫健</w:t>
      </w:r>
      <w:r>
        <w:rPr>
          <w:rFonts w:hint="eastAsia" w:ascii="楷体_GB2312" w:hAnsi="楷体_GB2312" w:eastAsia="楷体_GB2312" w:cs="楷体_GB2312"/>
          <w:b w:val="0"/>
          <w:bCs w:val="0"/>
          <w:color w:val="000000"/>
          <w:spacing w:val="0"/>
          <w:w w:val="100"/>
          <w:position w:val="0"/>
          <w:sz w:val="32"/>
          <w:szCs w:val="32"/>
          <w:lang w:val="en-US" w:eastAsia="zh-CN"/>
        </w:rPr>
        <w:t>局</w:t>
      </w:r>
      <w:r>
        <w:rPr>
          <w:rFonts w:hint="eastAsia" w:ascii="楷体_GB2312" w:hAnsi="楷体_GB2312" w:eastAsia="楷体_GB2312" w:cs="楷体_GB2312"/>
          <w:b w:val="0"/>
          <w:bCs w:val="0"/>
          <w:color w:val="000000"/>
          <w:spacing w:val="0"/>
          <w:w w:val="100"/>
          <w:position w:val="0"/>
          <w:sz w:val="32"/>
          <w:szCs w:val="32"/>
        </w:rPr>
        <w:t>、区财政局、区医保局、区应急局）</w:t>
      </w:r>
    </w:p>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82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7.保障残疾人基本住房安全便利。对符合条件的残疾人家庭优先轮候、优先选房，优先安排各类保障性住房，不断改善残疾人居住条件。农村危房改造优先解决符合低收入群体条件的残疾人家庭住房安全问题。城镇保障性住房建设、农村危房改造统筹将无障碍需求纳入建设之中。</w:t>
      </w:r>
      <w:r>
        <w:rPr>
          <w:rFonts w:hint="eastAsia" w:ascii="楷体_GB2312" w:hAnsi="楷体_GB2312" w:eastAsia="楷体_GB2312" w:cs="楷体_GB2312"/>
          <w:b w:val="0"/>
          <w:bCs w:val="0"/>
          <w:color w:val="000000"/>
          <w:spacing w:val="0"/>
          <w:w w:val="100"/>
          <w:position w:val="0"/>
          <w:sz w:val="32"/>
          <w:szCs w:val="32"/>
        </w:rPr>
        <w:t>（牵头</w:t>
      </w:r>
      <w:r>
        <w:rPr>
          <w:rFonts w:hint="eastAsia" w:ascii="楷体_GB2312" w:hAnsi="楷体_GB2312" w:eastAsia="楷体_GB2312" w:cs="楷体_GB2312"/>
          <w:b w:val="0"/>
          <w:bCs w:val="0"/>
          <w:color w:val="000000"/>
          <w:spacing w:val="0"/>
          <w:w w:val="100"/>
          <w:position w:val="0"/>
          <w:sz w:val="32"/>
          <w:szCs w:val="32"/>
          <w:lang w:val="en-US" w:eastAsia="zh-CN"/>
        </w:rPr>
        <w:t>单位</w:t>
      </w:r>
      <w:r>
        <w:rPr>
          <w:rFonts w:hint="eastAsia" w:ascii="楷体_GB2312" w:hAnsi="楷体_GB2312" w:eastAsia="楷体_GB2312" w:cs="楷体_GB2312"/>
          <w:b w:val="0"/>
          <w:bCs w:val="0"/>
          <w:color w:val="000000"/>
          <w:spacing w:val="0"/>
          <w:w w:val="100"/>
          <w:position w:val="0"/>
          <w:sz w:val="32"/>
          <w:szCs w:val="32"/>
        </w:rPr>
        <w:t>：区住建局；</w:t>
      </w:r>
      <w:r>
        <w:rPr>
          <w:rFonts w:hint="eastAsia" w:ascii="楷体_GB2312" w:hAnsi="楷体_GB2312" w:eastAsia="楷体_GB2312" w:cs="楷体_GB2312"/>
          <w:b w:val="0"/>
          <w:bCs w:val="0"/>
          <w:color w:val="000000"/>
          <w:spacing w:val="0"/>
          <w:w w:val="100"/>
          <w:position w:val="0"/>
          <w:sz w:val="32"/>
          <w:szCs w:val="32"/>
          <w:lang w:val="en-US" w:eastAsia="zh-CN"/>
        </w:rPr>
        <w:t>责任单位</w:t>
      </w:r>
      <w:r>
        <w:rPr>
          <w:rFonts w:hint="eastAsia" w:ascii="楷体_GB2312" w:hAnsi="楷体_GB2312" w:eastAsia="楷体_GB2312" w:cs="楷体_GB2312"/>
          <w:b w:val="0"/>
          <w:bCs w:val="0"/>
          <w:color w:val="000000"/>
          <w:spacing w:val="0"/>
          <w:w w:val="100"/>
          <w:position w:val="0"/>
          <w:sz w:val="32"/>
          <w:szCs w:val="32"/>
        </w:rPr>
        <w:t>：区残联）</w:t>
      </w:r>
    </w:p>
    <w:tbl>
      <w:tblPr>
        <w:tblStyle w:val="7"/>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5" w:type="dxa"/>
          </w:tcPr>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outlineLvl w:val="9"/>
              <w:rPr>
                <w:rFonts w:hint="eastAsia" w:ascii="黑体" w:hAnsi="黑体" w:eastAsia="黑体" w:cs="黑体"/>
                <w:b w:val="0"/>
                <w:bCs w:val="0"/>
                <w:color w:val="000000"/>
                <w:spacing w:val="0"/>
                <w:w w:val="100"/>
                <w:position w:val="0"/>
                <w:sz w:val="32"/>
                <w:szCs w:val="32"/>
                <w:vertAlign w:val="baseline"/>
              </w:rPr>
            </w:pPr>
            <w:r>
              <w:rPr>
                <w:rFonts w:hint="eastAsia" w:ascii="黑体" w:hAnsi="黑体" w:eastAsia="黑体" w:cs="黑体"/>
                <w:b w:val="0"/>
                <w:bCs w:val="0"/>
                <w:color w:val="000000"/>
                <w:spacing w:val="0"/>
                <w:w w:val="100"/>
                <w:position w:val="0"/>
                <w:sz w:val="32"/>
                <w:szCs w:val="32"/>
                <w:vertAlign w:val="baseline"/>
                <w:lang w:val="en-US" w:eastAsia="zh-CN"/>
              </w:rPr>
              <w:t xml:space="preserve">专栏1   </w:t>
            </w:r>
            <w:r>
              <w:rPr>
                <w:rFonts w:hint="eastAsia" w:ascii="黑体" w:hAnsi="黑体" w:eastAsia="黑体" w:cs="黑体"/>
                <w:b w:val="0"/>
                <w:bCs w:val="0"/>
                <w:color w:val="000000"/>
                <w:spacing w:val="0"/>
                <w:w w:val="100"/>
                <w:position w:val="0"/>
                <w:sz w:val="32"/>
                <w:szCs w:val="32"/>
                <w:vertAlign w:val="baseline"/>
              </w:rPr>
              <w:t>残疾人社会保障项目</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right="0"/>
              <w:jc w:val="both"/>
              <w:textAlignment w:val="auto"/>
              <w:outlineLvl w:val="9"/>
              <w:rPr>
                <w:rFonts w:hint="eastAsia" w:ascii="仿宋_GB2312" w:hAnsi="仿宋_GB2312" w:eastAsia="仿宋_GB2312" w:cs="仿宋_GB2312"/>
                <w:b w:val="0"/>
                <w:bCs w:val="0"/>
                <w:color w:val="000000"/>
                <w:spacing w:val="0"/>
                <w:w w:val="100"/>
                <w:position w:val="0"/>
                <w:sz w:val="28"/>
                <w:szCs w:val="28"/>
              </w:rPr>
            </w:pPr>
            <w:r>
              <w:rPr>
                <w:rFonts w:hint="eastAsia" w:ascii="黑体" w:hAnsi="黑体" w:eastAsia="黑体" w:cs="黑体"/>
                <w:b w:val="0"/>
                <w:bCs w:val="0"/>
                <w:color w:val="000000"/>
                <w:spacing w:val="0"/>
                <w:w w:val="100"/>
                <w:position w:val="0"/>
                <w:sz w:val="28"/>
                <w:szCs w:val="28"/>
                <w:vertAlign w:val="baseline"/>
              </w:rPr>
              <w:t>“如康家园”残疾人之家</w:t>
            </w:r>
            <w:r>
              <w:rPr>
                <w:rFonts w:hint="eastAsia" w:ascii="黑体" w:hAnsi="黑体" w:eastAsia="黑体" w:cs="黑体"/>
                <w:b w:val="0"/>
                <w:bCs w:val="0"/>
                <w:color w:val="000000"/>
                <w:spacing w:val="0"/>
                <w:w w:val="100"/>
                <w:position w:val="0"/>
                <w:sz w:val="28"/>
                <w:szCs w:val="28"/>
                <w:vertAlign w:val="baseline"/>
                <w:lang w:val="en-US" w:eastAsia="zh-CN"/>
              </w:rPr>
              <w:t>综</w:t>
            </w:r>
            <w:r>
              <w:rPr>
                <w:rFonts w:hint="eastAsia" w:ascii="黑体" w:hAnsi="黑体" w:eastAsia="黑体" w:cs="黑体"/>
                <w:b w:val="0"/>
                <w:bCs w:val="0"/>
                <w:color w:val="000000"/>
                <w:spacing w:val="0"/>
                <w:w w:val="100"/>
                <w:position w:val="0"/>
                <w:sz w:val="28"/>
                <w:szCs w:val="28"/>
                <w:vertAlign w:val="baseline"/>
              </w:rPr>
              <w:t>合服务平台</w:t>
            </w:r>
            <w:r>
              <w:rPr>
                <w:rFonts w:hint="eastAsia" w:ascii="仿宋" w:hAnsi="仿宋" w:eastAsia="仿宋" w:cs="仿宋"/>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position w:val="0"/>
                <w:sz w:val="28"/>
                <w:szCs w:val="28"/>
              </w:rPr>
              <w:t>以解决残疾人急难愁盼问题为导向，聚焦16周岁以上困难且有需求的智力、精神和重度肢体残疾人群体，依托基层公共服务设施，建设集残疾人日间照料、辅助性就业、康复训练、技能培训、文化体育、志愿服务、心理</w:t>
            </w:r>
            <w:r>
              <w:rPr>
                <w:rFonts w:hint="eastAsia" w:ascii="楷体_GB2312" w:hAnsi="楷体_GB2312" w:eastAsia="楷体_GB2312" w:cs="楷体_GB2312"/>
                <w:b w:val="0"/>
                <w:bCs w:val="0"/>
                <w:color w:val="000000"/>
                <w:spacing w:val="0"/>
                <w:w w:val="100"/>
                <w:position w:val="0"/>
                <w:sz w:val="28"/>
                <w:szCs w:val="28"/>
                <w:lang w:eastAsia="zh-CN"/>
              </w:rPr>
              <w:t>疏</w:t>
            </w:r>
            <w:r>
              <w:rPr>
                <w:rFonts w:hint="eastAsia" w:ascii="楷体_GB2312" w:hAnsi="楷体_GB2312" w:eastAsia="楷体_GB2312" w:cs="楷体_GB2312"/>
                <w:b w:val="0"/>
                <w:bCs w:val="0"/>
                <w:color w:val="000000"/>
                <w:spacing w:val="0"/>
                <w:w w:val="100"/>
                <w:position w:val="0"/>
                <w:sz w:val="28"/>
                <w:szCs w:val="28"/>
              </w:rPr>
              <w:t>导、交流互动等多功能于一体的综合性服务机构，</w:t>
            </w:r>
            <w:r>
              <w:rPr>
                <w:rFonts w:hint="eastAsia" w:ascii="楷体_GB2312" w:hAnsi="楷体_GB2312" w:eastAsia="楷体_GB2312" w:cs="楷体_GB2312"/>
                <w:b w:val="0"/>
                <w:bCs w:val="0"/>
                <w:color w:val="000000"/>
                <w:spacing w:val="0"/>
                <w:w w:val="100"/>
                <w:position w:val="0"/>
                <w:sz w:val="28"/>
                <w:szCs w:val="28"/>
                <w:lang w:eastAsia="zh-CN"/>
              </w:rPr>
              <w:t>采</w:t>
            </w:r>
            <w:r>
              <w:rPr>
                <w:rFonts w:hint="eastAsia" w:ascii="楷体_GB2312" w:hAnsi="楷体_GB2312" w:eastAsia="楷体_GB2312" w:cs="楷体_GB2312"/>
                <w:b w:val="0"/>
                <w:bCs w:val="0"/>
                <w:color w:val="000000"/>
                <w:spacing w:val="0"/>
                <w:w w:val="100"/>
                <w:position w:val="0"/>
                <w:sz w:val="28"/>
                <w:szCs w:val="28"/>
              </w:rPr>
              <w:t>用“平台+服务</w:t>
            </w:r>
            <w:r>
              <w:rPr>
                <w:rFonts w:hint="eastAsia" w:ascii="楷体_GB2312" w:hAnsi="楷体_GB2312" w:eastAsia="楷体_GB2312" w:cs="楷体_GB2312"/>
                <w:b w:val="0"/>
                <w:bCs w:val="0"/>
                <w:color w:val="000000"/>
                <w:spacing w:val="0"/>
                <w:w w:val="100"/>
                <w:position w:val="0"/>
                <w:sz w:val="28"/>
                <w:szCs w:val="28"/>
                <w:lang w:eastAsia="zh-CN"/>
              </w:rPr>
              <w:t>”</w:t>
            </w:r>
            <w:r>
              <w:rPr>
                <w:rFonts w:hint="eastAsia" w:ascii="楷体_GB2312" w:hAnsi="楷体_GB2312" w:eastAsia="楷体_GB2312" w:cs="楷体_GB2312"/>
                <w:b w:val="0"/>
                <w:bCs w:val="0"/>
                <w:color w:val="000000"/>
                <w:spacing w:val="0"/>
                <w:w w:val="100"/>
                <w:position w:val="0"/>
                <w:sz w:val="28"/>
                <w:szCs w:val="28"/>
              </w:rPr>
              <w:t>的形式,汇集政府、企事业单位、社会组织等多方资源，为</w:t>
            </w:r>
            <w:r>
              <w:rPr>
                <w:rFonts w:hint="eastAsia" w:ascii="楷体_GB2312" w:hAnsi="楷体_GB2312" w:eastAsia="楷体_GB2312" w:cs="楷体_GB2312"/>
                <w:b w:val="0"/>
                <w:bCs w:val="0"/>
                <w:color w:val="000000"/>
                <w:spacing w:val="0"/>
                <w:w w:val="100"/>
                <w:position w:val="0"/>
                <w:sz w:val="28"/>
                <w:szCs w:val="28"/>
                <w:lang w:eastAsia="zh-CN"/>
              </w:rPr>
              <w:t>残疾人</w:t>
            </w:r>
            <w:r>
              <w:rPr>
                <w:rFonts w:hint="eastAsia" w:ascii="楷体_GB2312" w:hAnsi="楷体_GB2312" w:eastAsia="楷体_GB2312" w:cs="楷体_GB2312"/>
                <w:b w:val="0"/>
                <w:bCs w:val="0"/>
                <w:color w:val="000000"/>
                <w:spacing w:val="0"/>
                <w:w w:val="100"/>
                <w:position w:val="0"/>
                <w:sz w:val="28"/>
                <w:szCs w:val="28"/>
              </w:rPr>
              <w:t>提供就近就便常态化的基本服务。</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rPr>
            </w:pPr>
            <w:r>
              <w:rPr>
                <w:rFonts w:hint="eastAsia" w:ascii="黑体" w:hAnsi="黑体" w:eastAsia="黑体" w:cs="黑体"/>
                <w:b w:val="0"/>
                <w:bCs w:val="0"/>
                <w:color w:val="000000"/>
                <w:spacing w:val="0"/>
                <w:w w:val="100"/>
                <w:position w:val="0"/>
                <w:sz w:val="28"/>
                <w:szCs w:val="28"/>
                <w:vertAlign w:val="baseline"/>
              </w:rPr>
              <w:t xml:space="preserve">最低生活保障 </w:t>
            </w:r>
            <w:r>
              <w:rPr>
                <w:rFonts w:hint="eastAsia" w:ascii="楷体" w:hAnsi="楷体" w:eastAsia="楷体" w:cs="楷体"/>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position w:val="0"/>
                <w:sz w:val="28"/>
                <w:szCs w:val="28"/>
              </w:rPr>
              <w:t>将符合</w:t>
            </w:r>
            <w:bookmarkStart w:id="2" w:name="_GoBack"/>
            <w:bookmarkEnd w:id="2"/>
            <w:r>
              <w:rPr>
                <w:rFonts w:hint="eastAsia" w:ascii="楷体_GB2312" w:hAnsi="楷体_GB2312" w:eastAsia="楷体_GB2312" w:cs="楷体_GB2312"/>
                <w:b w:val="0"/>
                <w:bCs w:val="0"/>
                <w:color w:val="000000"/>
                <w:spacing w:val="0"/>
                <w:w w:val="100"/>
                <w:position w:val="0"/>
                <w:sz w:val="28"/>
                <w:szCs w:val="28"/>
              </w:rPr>
              <w:t>条件的残疾人家庭全部纳入最低生活保障范围，符合条件的低保边</w:t>
            </w:r>
            <w:r>
              <w:rPr>
                <w:rFonts w:hint="eastAsia" w:ascii="楷体_GB2312" w:hAnsi="楷体_GB2312" w:eastAsia="楷体_GB2312" w:cs="楷体_GB2312"/>
                <w:b w:val="0"/>
                <w:bCs w:val="0"/>
                <w:color w:val="000000"/>
                <w:spacing w:val="0"/>
                <w:w w:val="100"/>
                <w:position w:val="0"/>
                <w:sz w:val="28"/>
                <w:szCs w:val="28"/>
                <w:lang w:val="en-US" w:eastAsia="zh-CN"/>
              </w:rPr>
              <w:t>缘</w:t>
            </w:r>
            <w:r>
              <w:rPr>
                <w:rFonts w:hint="eastAsia" w:ascii="楷体_GB2312" w:hAnsi="楷体_GB2312" w:eastAsia="楷体_GB2312" w:cs="楷体_GB2312"/>
                <w:b w:val="0"/>
                <w:bCs w:val="0"/>
                <w:color w:val="000000"/>
                <w:spacing w:val="0"/>
                <w:w w:val="100"/>
                <w:position w:val="0"/>
                <w:sz w:val="28"/>
                <w:szCs w:val="28"/>
              </w:rPr>
              <w:t>家庭中的残疾人，经本人申请参照单人户纳入低保。</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rPr>
            </w:pPr>
            <w:r>
              <w:rPr>
                <w:rFonts w:hint="eastAsia" w:ascii="黑体" w:hAnsi="黑体" w:eastAsia="黑体" w:cs="黑体"/>
                <w:b w:val="0"/>
                <w:bCs w:val="0"/>
                <w:color w:val="000000"/>
                <w:spacing w:val="0"/>
                <w:w w:val="100"/>
                <w:position w:val="0"/>
                <w:sz w:val="28"/>
                <w:szCs w:val="28"/>
                <w:vertAlign w:val="baseline"/>
              </w:rPr>
              <w:t>残疾人信息消费优惠</w:t>
            </w:r>
            <w:r>
              <w:rPr>
                <w:rFonts w:hint="eastAsia" w:ascii="黑体" w:hAnsi="黑体" w:eastAsia="黑体" w:cs="黑体"/>
                <w:b w:val="0"/>
                <w:bCs w:val="0"/>
                <w:color w:val="000000"/>
                <w:spacing w:val="0"/>
                <w:w w:val="100"/>
                <w:position w:val="0"/>
                <w:sz w:val="28"/>
                <w:szCs w:val="28"/>
                <w:vertAlign w:val="baseline"/>
                <w:lang w:val="en-US" w:eastAsia="zh-CN"/>
              </w:rPr>
              <w:t xml:space="preserve">  </w:t>
            </w:r>
            <w:r>
              <w:rPr>
                <w:rFonts w:hint="eastAsia" w:ascii="楷体_GB2312" w:hAnsi="楷体_GB2312" w:eastAsia="楷体_GB2312" w:cs="楷体_GB2312"/>
                <w:b w:val="0"/>
                <w:bCs w:val="0"/>
                <w:color w:val="000000"/>
                <w:spacing w:val="0"/>
                <w:w w:val="100"/>
                <w:position w:val="0"/>
                <w:sz w:val="28"/>
                <w:szCs w:val="28"/>
              </w:rPr>
              <w:t>对残疾人使用语音、流量、宽带等信息消费套餐给予半价以上优惠，减免残疾人使用助残公益类移动互联网应用（APP）流量资费。</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仿宋_GB2312" w:hAnsi="仿宋_GB2312" w:eastAsia="仿宋_GB2312" w:cs="仿宋_GB2312"/>
                <w:b w:val="0"/>
                <w:bCs w:val="0"/>
                <w:color w:val="000000"/>
                <w:spacing w:val="0"/>
                <w:w w:val="100"/>
                <w:position w:val="0"/>
                <w:sz w:val="28"/>
                <w:szCs w:val="28"/>
              </w:rPr>
            </w:pPr>
            <w:r>
              <w:rPr>
                <w:rFonts w:hint="eastAsia" w:ascii="黑体" w:hAnsi="黑体" w:eastAsia="黑体" w:cs="黑体"/>
                <w:b w:val="0"/>
                <w:bCs w:val="0"/>
                <w:color w:val="000000"/>
                <w:spacing w:val="0"/>
                <w:w w:val="100"/>
                <w:position w:val="0"/>
                <w:sz w:val="28"/>
                <w:szCs w:val="28"/>
                <w:vertAlign w:val="baseline"/>
              </w:rPr>
              <w:t>困难残疾人走访探视服务</w:t>
            </w:r>
            <w:r>
              <w:rPr>
                <w:rFonts w:hint="eastAsia" w:ascii="楷体" w:hAnsi="楷体" w:eastAsia="楷体" w:cs="楷体"/>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position w:val="0"/>
                <w:sz w:val="28"/>
                <w:szCs w:val="28"/>
              </w:rPr>
              <w:t>村（</w:t>
            </w:r>
            <w:r>
              <w:rPr>
                <w:rFonts w:hint="eastAsia" w:ascii="楷体_GB2312" w:hAnsi="楷体_GB2312" w:eastAsia="楷体_GB2312" w:cs="楷体_GB2312"/>
                <w:b w:val="0"/>
                <w:bCs w:val="0"/>
                <w:color w:val="000000"/>
                <w:spacing w:val="0"/>
                <w:w w:val="100"/>
                <w:position w:val="0"/>
                <w:sz w:val="28"/>
                <w:szCs w:val="28"/>
                <w:lang w:eastAsia="zh-CN"/>
              </w:rPr>
              <w:t>居</w:t>
            </w:r>
            <w:r>
              <w:rPr>
                <w:rFonts w:hint="eastAsia" w:ascii="楷体_GB2312" w:hAnsi="楷体_GB2312" w:eastAsia="楷体_GB2312" w:cs="楷体_GB2312"/>
                <w:b w:val="0"/>
                <w:bCs w:val="0"/>
                <w:color w:val="000000"/>
                <w:spacing w:val="0"/>
                <w:w w:val="100"/>
                <w:position w:val="0"/>
                <w:sz w:val="28"/>
                <w:szCs w:val="28"/>
              </w:rPr>
              <w:t>）</w:t>
            </w:r>
            <w:r>
              <w:rPr>
                <w:rFonts w:hint="eastAsia" w:ascii="楷体_GB2312" w:hAnsi="楷体_GB2312" w:eastAsia="楷体_GB2312" w:cs="楷体_GB2312"/>
                <w:b w:val="0"/>
                <w:bCs w:val="0"/>
                <w:color w:val="000000"/>
                <w:spacing w:val="0"/>
                <w:w w:val="100"/>
                <w:position w:val="0"/>
                <w:sz w:val="28"/>
                <w:szCs w:val="28"/>
                <w:lang w:eastAsia="zh-CN"/>
              </w:rPr>
              <w:t>民</w:t>
            </w:r>
            <w:r>
              <w:rPr>
                <w:rFonts w:hint="eastAsia" w:ascii="楷体_GB2312" w:hAnsi="楷体_GB2312" w:eastAsia="楷体_GB2312" w:cs="楷体_GB2312"/>
                <w:b w:val="0"/>
                <w:bCs w:val="0"/>
                <w:color w:val="000000"/>
                <w:spacing w:val="0"/>
                <w:w w:val="100"/>
                <w:position w:val="0"/>
                <w:sz w:val="28"/>
                <w:szCs w:val="28"/>
              </w:rPr>
              <w:t>委</w:t>
            </w:r>
            <w:r>
              <w:rPr>
                <w:rFonts w:hint="eastAsia" w:ascii="楷体_GB2312" w:hAnsi="楷体_GB2312" w:eastAsia="楷体_GB2312" w:cs="楷体_GB2312"/>
                <w:b w:val="0"/>
                <w:bCs w:val="0"/>
                <w:color w:val="000000"/>
                <w:spacing w:val="0"/>
                <w:w w:val="100"/>
                <w:position w:val="0"/>
                <w:sz w:val="28"/>
                <w:szCs w:val="28"/>
                <w:lang w:eastAsia="zh-CN"/>
              </w:rPr>
              <w:t>员</w:t>
            </w:r>
            <w:r>
              <w:rPr>
                <w:rFonts w:hint="eastAsia" w:ascii="楷体_GB2312" w:hAnsi="楷体_GB2312" w:eastAsia="楷体_GB2312" w:cs="楷体_GB2312"/>
                <w:b w:val="0"/>
                <w:bCs w:val="0"/>
                <w:color w:val="000000"/>
                <w:spacing w:val="0"/>
                <w:w w:val="100"/>
                <w:position w:val="0"/>
                <w:sz w:val="28"/>
                <w:szCs w:val="28"/>
              </w:rPr>
              <w:t>会和残疾人协会对困难残疾人开展经常性走访探视，发现问题及时反馈，协助解决。</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rPr>
            </w:pPr>
            <w:r>
              <w:rPr>
                <w:rFonts w:hint="eastAsia" w:ascii="黑体" w:hAnsi="黑体" w:eastAsia="黑体" w:cs="黑体"/>
                <w:b w:val="0"/>
                <w:bCs w:val="0"/>
                <w:color w:val="000000"/>
                <w:spacing w:val="0"/>
                <w:w w:val="100"/>
                <w:position w:val="0"/>
                <w:sz w:val="28"/>
                <w:szCs w:val="28"/>
                <w:vertAlign w:val="baseline"/>
              </w:rPr>
              <w:t xml:space="preserve">重度残疾人照护服务 </w:t>
            </w:r>
            <w:r>
              <w:rPr>
                <w:rFonts w:hint="eastAsia" w:ascii="黑体" w:hAnsi="黑体" w:eastAsia="黑体" w:cs="黑体"/>
                <w:b w:val="0"/>
                <w:bCs w:val="0"/>
                <w:color w:val="000000"/>
                <w:spacing w:val="0"/>
                <w:w w:val="100"/>
                <w:position w:val="0"/>
                <w:sz w:val="28"/>
                <w:szCs w:val="28"/>
                <w:vertAlign w:val="baseline"/>
                <w:lang w:val="en-US" w:eastAsia="zh-CN"/>
              </w:rPr>
              <w:t xml:space="preserve"> </w:t>
            </w:r>
            <w:r>
              <w:rPr>
                <w:rFonts w:hint="eastAsia" w:ascii="楷体_GB2312" w:hAnsi="楷体_GB2312" w:eastAsia="楷体_GB2312" w:cs="楷体_GB2312"/>
                <w:b w:val="0"/>
                <w:bCs w:val="0"/>
                <w:color w:val="000000"/>
                <w:spacing w:val="0"/>
                <w:w w:val="100"/>
                <w:position w:val="0"/>
                <w:sz w:val="28"/>
                <w:szCs w:val="28"/>
              </w:rPr>
              <w:t>重度残疾人数量和服务需求较多的镇（街）可建立集中照护服务机构；有条件的村（社区）依托公共服务设施，为符合条件的重度残疾人提供集中照护或日间照料、居家服务、邻里互助等多种形式的社会化照护服务。</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rPr>
            </w:pPr>
            <w:r>
              <w:rPr>
                <w:rFonts w:hint="eastAsia" w:ascii="黑体" w:hAnsi="黑体" w:eastAsia="黑体" w:cs="黑体"/>
                <w:b w:val="0"/>
                <w:bCs w:val="0"/>
                <w:color w:val="000000"/>
                <w:spacing w:val="0"/>
                <w:w w:val="100"/>
                <w:position w:val="0"/>
                <w:sz w:val="28"/>
                <w:szCs w:val="28"/>
                <w:vertAlign w:val="baseline"/>
              </w:rPr>
              <w:t>就业年龄段残疾人托养服务</w:t>
            </w:r>
            <w:r>
              <w:rPr>
                <w:rFonts w:hint="eastAsia" w:ascii="楷体" w:hAnsi="楷体" w:eastAsia="楷体" w:cs="楷体"/>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position w:val="0"/>
                <w:sz w:val="28"/>
                <w:szCs w:val="28"/>
              </w:rPr>
              <w:t>充分利用现有托养养老机构、福利设施、医疗机构、农村集体闲置资源等，建立健全以居家照料服务为基础，社区、乡镇日间照料中心为依托，机构照护为支撑的残疾人托养服务体系。</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 w:hAnsi="楷体" w:eastAsia="楷体" w:cs="楷体"/>
                <w:b w:val="0"/>
                <w:bCs w:val="0"/>
                <w:color w:val="000000"/>
                <w:spacing w:val="0"/>
                <w:w w:val="100"/>
                <w:position w:val="0"/>
                <w:sz w:val="28"/>
                <w:szCs w:val="28"/>
                <w:vertAlign w:val="baseline"/>
              </w:rPr>
            </w:pPr>
            <w:r>
              <w:rPr>
                <w:rFonts w:hint="eastAsia" w:ascii="黑体" w:hAnsi="黑体" w:eastAsia="黑体" w:cs="黑体"/>
                <w:b w:val="0"/>
                <w:bCs w:val="0"/>
                <w:color w:val="000000"/>
                <w:spacing w:val="0"/>
                <w:w w:val="100"/>
                <w:position w:val="0"/>
                <w:sz w:val="28"/>
                <w:szCs w:val="28"/>
                <w:vertAlign w:val="baseline"/>
              </w:rPr>
              <w:t>残疾人社会工作和家庭支持服务</w:t>
            </w:r>
            <w:r>
              <w:rPr>
                <w:rFonts w:hint="eastAsia" w:ascii="楷体" w:hAnsi="楷体" w:eastAsia="楷体" w:cs="楷体"/>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position w:val="0"/>
                <w:sz w:val="28"/>
                <w:szCs w:val="28"/>
              </w:rPr>
              <w:t>开展残疾人社会工作服务，为残疾人建立社会支持网络，让更多残疾人有“朋友圈”，为残疾人家庭提供“喘息服务”、心理辅导和康复、教育等专业指导。逐步在残疾人服务机构中设置社会工作岗位。</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仿宋" w:hAnsi="仿宋" w:eastAsia="仿宋" w:cs="仿宋"/>
                <w:b w:val="0"/>
                <w:bCs w:val="0"/>
                <w:color w:val="000000"/>
                <w:spacing w:val="0"/>
                <w:w w:val="100"/>
                <w:position w:val="0"/>
                <w:sz w:val="32"/>
                <w:szCs w:val="32"/>
                <w:vertAlign w:val="baseline"/>
              </w:rPr>
            </w:pPr>
            <w:r>
              <w:rPr>
                <w:rFonts w:hint="eastAsia" w:ascii="黑体" w:hAnsi="黑体" w:eastAsia="黑体" w:cs="黑体"/>
                <w:b w:val="0"/>
                <w:bCs w:val="0"/>
                <w:color w:val="000000"/>
                <w:spacing w:val="0"/>
                <w:w w:val="100"/>
                <w:position w:val="0"/>
                <w:sz w:val="28"/>
                <w:szCs w:val="28"/>
                <w:vertAlign w:val="baseline"/>
              </w:rPr>
              <w:t>重大疫情等突发公共事件中困难残疾人危急救助</w:t>
            </w:r>
            <w:r>
              <w:rPr>
                <w:rFonts w:hint="eastAsia" w:ascii="宋体" w:hAnsi="宋体" w:eastAsia="宋体" w:cs="宋体"/>
                <w:b w:val="0"/>
                <w:bCs w:val="0"/>
                <w:color w:val="000000"/>
                <w:spacing w:val="0"/>
                <w:w w:val="100"/>
                <w:position w:val="0"/>
                <w:sz w:val="28"/>
                <w:szCs w:val="28"/>
                <w:vertAlign w:val="baseline"/>
              </w:rPr>
              <w:t xml:space="preserve"> </w:t>
            </w:r>
            <w:r>
              <w:rPr>
                <w:rFonts w:hint="eastAsia" w:ascii="楷体" w:hAnsi="楷体" w:eastAsia="楷体" w:cs="楷体"/>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position w:val="0"/>
                <w:sz w:val="28"/>
                <w:szCs w:val="28"/>
              </w:rPr>
              <w:t>对因疫情防控在家隔离的残疾人，落实帮包联系人，加强走访探视，及时提供必要帮助。因突发事件等紧急情况，</w:t>
            </w:r>
            <w:r>
              <w:rPr>
                <w:rFonts w:hint="eastAsia" w:ascii="楷体_GB2312" w:hAnsi="楷体_GB2312" w:eastAsia="楷体_GB2312" w:cs="楷体_GB2312"/>
                <w:b w:val="0"/>
                <w:bCs w:val="0"/>
                <w:color w:val="000000"/>
                <w:spacing w:val="0"/>
                <w:w w:val="100"/>
                <w:position w:val="0"/>
                <w:sz w:val="28"/>
                <w:szCs w:val="28"/>
                <w:lang w:eastAsia="zh-CN"/>
              </w:rPr>
              <w:t>监</w:t>
            </w:r>
            <w:r>
              <w:rPr>
                <w:rFonts w:hint="eastAsia" w:ascii="楷体_GB2312" w:hAnsi="楷体_GB2312" w:eastAsia="楷体_GB2312" w:cs="楷体_GB2312"/>
                <w:b w:val="0"/>
                <w:bCs w:val="0"/>
                <w:color w:val="000000"/>
                <w:spacing w:val="0"/>
                <w:w w:val="100"/>
                <w:position w:val="0"/>
                <w:sz w:val="28"/>
                <w:szCs w:val="28"/>
              </w:rPr>
              <w:t>护人无法履行监护职责，被监护人处于无人照料状态的，被监护人住所地的村（居）</w:t>
            </w:r>
            <w:r>
              <w:rPr>
                <w:rFonts w:hint="eastAsia" w:ascii="楷体_GB2312" w:hAnsi="楷体_GB2312" w:eastAsia="楷体_GB2312" w:cs="楷体_GB2312"/>
                <w:b w:val="0"/>
                <w:bCs w:val="0"/>
                <w:color w:val="000000"/>
                <w:spacing w:val="0"/>
                <w:w w:val="100"/>
                <w:position w:val="0"/>
                <w:sz w:val="28"/>
                <w:szCs w:val="28"/>
                <w:lang w:eastAsia="zh-CN"/>
              </w:rPr>
              <w:t>民</w:t>
            </w:r>
            <w:r>
              <w:rPr>
                <w:rFonts w:hint="eastAsia" w:ascii="楷体_GB2312" w:hAnsi="楷体_GB2312" w:eastAsia="楷体_GB2312" w:cs="楷体_GB2312"/>
                <w:b w:val="0"/>
                <w:bCs w:val="0"/>
                <w:color w:val="000000"/>
                <w:spacing w:val="0"/>
                <w:w w:val="100"/>
                <w:position w:val="0"/>
                <w:sz w:val="28"/>
                <w:szCs w:val="28"/>
              </w:rPr>
              <w:t>委</w:t>
            </w:r>
            <w:r>
              <w:rPr>
                <w:rFonts w:hint="eastAsia" w:ascii="楷体_GB2312" w:hAnsi="楷体_GB2312" w:eastAsia="楷体_GB2312" w:cs="楷体_GB2312"/>
                <w:b w:val="0"/>
                <w:bCs w:val="0"/>
                <w:color w:val="000000"/>
                <w:spacing w:val="0"/>
                <w:w w:val="100"/>
                <w:position w:val="0"/>
                <w:sz w:val="28"/>
                <w:szCs w:val="28"/>
                <w:lang w:eastAsia="zh-CN"/>
              </w:rPr>
              <w:t>员</w:t>
            </w:r>
            <w:r>
              <w:rPr>
                <w:rFonts w:hint="eastAsia" w:ascii="楷体_GB2312" w:hAnsi="楷体_GB2312" w:eastAsia="楷体_GB2312" w:cs="楷体_GB2312"/>
                <w:b w:val="0"/>
                <w:bCs w:val="0"/>
                <w:color w:val="000000"/>
                <w:spacing w:val="0"/>
                <w:w w:val="100"/>
                <w:position w:val="0"/>
                <w:sz w:val="28"/>
                <w:szCs w:val="28"/>
              </w:rPr>
              <w:t>会或者民政部门应当为被监护人提供必要的临时生活照护措施。</w:t>
            </w:r>
          </w:p>
        </w:tc>
      </w:tr>
    </w:tbl>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楷体_GB2312" w:hAnsi="楷体_GB2312" w:eastAsia="楷体_GB2312" w:cs="楷体_GB2312"/>
          <w:b w:val="0"/>
          <w:bCs w:val="0"/>
          <w:color w:val="000000"/>
          <w:spacing w:val="0"/>
          <w:w w:val="100"/>
          <w:position w:val="0"/>
          <w:sz w:val="32"/>
          <w:szCs w:val="32"/>
        </w:rPr>
        <w:t>（二）全面提高康复服务供给质量，不断提升残疾人健康水平。</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1.加强残疾预防工作。坚持预防为主、预防与康复相结合原则，实施残疾预防行动，完善残疾预防服务网络，提升全社会残疾风险综合防控能力。加强婚前、孕前、围</w:t>
      </w:r>
      <w:r>
        <w:rPr>
          <w:rFonts w:hint="eastAsia" w:ascii="仿宋_GB2312" w:hAnsi="仿宋_GB2312" w:eastAsia="仿宋_GB2312" w:cs="仿宋_GB2312"/>
          <w:b w:val="0"/>
          <w:bCs w:val="0"/>
          <w:color w:val="000000"/>
          <w:spacing w:val="0"/>
          <w:w w:val="100"/>
          <w:position w:val="0"/>
          <w:sz w:val="32"/>
          <w:szCs w:val="32"/>
          <w:lang w:val="en-US" w:eastAsia="zh-CN"/>
        </w:rPr>
        <w:t>产</w:t>
      </w:r>
      <w:r>
        <w:rPr>
          <w:rFonts w:hint="eastAsia" w:ascii="仿宋_GB2312" w:hAnsi="仿宋_GB2312" w:eastAsia="仿宋_GB2312" w:cs="仿宋_GB2312"/>
          <w:b w:val="0"/>
          <w:bCs w:val="0"/>
          <w:color w:val="000000"/>
          <w:spacing w:val="0"/>
          <w:w w:val="100"/>
          <w:position w:val="0"/>
          <w:sz w:val="32"/>
          <w:szCs w:val="32"/>
        </w:rPr>
        <w:t>期保健，做好产前筛查、诊断，加强0-6岁儿童残疾早期筛查，预防和减少出生缺陷和发育障碍致残。强化防盲治盲、防聋治聋工作，实施相关疾病预防干预措施，减少重大慢性病、传染病、地方病、职业病、精神疾病等疾病致残。加强安全生产监管和道路交通安全管理，减少老年人跌倒和儿童意外伤害，增强防灾减灾能力，加强农产品和食品药品安全，提高饮用水和空气污染治理干预能力。结合“残疾预防日”“爱耳日”“爱眼日”等广泛开展残疾预防宣传教育，增强全民残疾预防意识。</w:t>
      </w:r>
      <w:r>
        <w:rPr>
          <w:rFonts w:hint="eastAsia" w:ascii="楷体_GB2312" w:hAnsi="楷体_GB2312" w:eastAsia="楷体_GB2312" w:cs="楷体_GB2312"/>
          <w:b w:val="0"/>
          <w:bCs w:val="0"/>
          <w:color w:val="000000"/>
          <w:spacing w:val="0"/>
          <w:w w:val="100"/>
          <w:position w:val="0"/>
          <w:sz w:val="32"/>
          <w:szCs w:val="32"/>
        </w:rPr>
        <w:t>（牵头</w:t>
      </w:r>
      <w:r>
        <w:rPr>
          <w:rFonts w:hint="eastAsia" w:ascii="楷体_GB2312" w:hAnsi="楷体_GB2312" w:eastAsia="楷体_GB2312" w:cs="楷体_GB2312"/>
          <w:b w:val="0"/>
          <w:bCs w:val="0"/>
          <w:color w:val="000000"/>
          <w:spacing w:val="0"/>
          <w:w w:val="100"/>
          <w:position w:val="0"/>
          <w:sz w:val="32"/>
          <w:szCs w:val="32"/>
          <w:lang w:val="en-US" w:eastAsia="zh-CN"/>
        </w:rPr>
        <w:t>单位</w:t>
      </w:r>
      <w:r>
        <w:rPr>
          <w:rFonts w:hint="eastAsia" w:ascii="楷体_GB2312" w:hAnsi="楷体_GB2312" w:eastAsia="楷体_GB2312" w:cs="楷体_GB2312"/>
          <w:b w:val="0"/>
          <w:bCs w:val="0"/>
          <w:color w:val="000000"/>
          <w:spacing w:val="0"/>
          <w:w w:val="100"/>
          <w:position w:val="0"/>
          <w:sz w:val="32"/>
          <w:szCs w:val="32"/>
        </w:rPr>
        <w:t>：区残联；</w:t>
      </w:r>
      <w:r>
        <w:rPr>
          <w:rFonts w:hint="eastAsia" w:ascii="楷体_GB2312" w:hAnsi="楷体_GB2312" w:eastAsia="楷体_GB2312" w:cs="楷体_GB2312"/>
          <w:b w:val="0"/>
          <w:bCs w:val="0"/>
          <w:color w:val="000000"/>
          <w:spacing w:val="0"/>
          <w:w w:val="100"/>
          <w:position w:val="0"/>
          <w:sz w:val="32"/>
          <w:szCs w:val="32"/>
          <w:lang w:val="en-US" w:eastAsia="zh-CN"/>
        </w:rPr>
        <w:t>责任单位</w:t>
      </w:r>
      <w:r>
        <w:rPr>
          <w:rFonts w:hint="eastAsia" w:ascii="楷体_GB2312" w:hAnsi="楷体_GB2312" w:eastAsia="楷体_GB2312" w:cs="楷体_GB2312"/>
          <w:b w:val="0"/>
          <w:bCs w:val="0"/>
          <w:color w:val="000000"/>
          <w:spacing w:val="0"/>
          <w:w w:val="100"/>
          <w:position w:val="0"/>
          <w:sz w:val="32"/>
          <w:szCs w:val="32"/>
        </w:rPr>
        <w:t>：区卫健</w:t>
      </w:r>
      <w:r>
        <w:rPr>
          <w:rFonts w:hint="eastAsia" w:ascii="楷体_GB2312" w:hAnsi="楷体_GB2312" w:eastAsia="楷体_GB2312" w:cs="楷体_GB2312"/>
          <w:b w:val="0"/>
          <w:bCs w:val="0"/>
          <w:color w:val="000000"/>
          <w:spacing w:val="0"/>
          <w:w w:val="100"/>
          <w:position w:val="0"/>
          <w:sz w:val="32"/>
          <w:szCs w:val="32"/>
          <w:lang w:val="en-US" w:eastAsia="zh-CN"/>
        </w:rPr>
        <w:t>局</w:t>
      </w:r>
      <w:r>
        <w:rPr>
          <w:rFonts w:hint="eastAsia" w:ascii="楷体_GB2312" w:hAnsi="楷体_GB2312" w:eastAsia="楷体_GB2312" w:cs="楷体_GB2312"/>
          <w:b w:val="0"/>
          <w:bCs w:val="0"/>
          <w:color w:val="000000"/>
          <w:spacing w:val="0"/>
          <w:w w:val="100"/>
          <w:position w:val="0"/>
          <w:sz w:val="32"/>
          <w:szCs w:val="32"/>
        </w:rPr>
        <w:t>、区公安</w:t>
      </w:r>
      <w:r>
        <w:rPr>
          <w:rFonts w:hint="eastAsia" w:ascii="楷体_GB2312" w:hAnsi="楷体_GB2312" w:eastAsia="楷体_GB2312" w:cs="楷体_GB2312"/>
          <w:b w:val="0"/>
          <w:bCs w:val="0"/>
          <w:color w:val="000000"/>
          <w:spacing w:val="0"/>
          <w:w w:val="100"/>
          <w:position w:val="0"/>
          <w:sz w:val="32"/>
          <w:szCs w:val="32"/>
          <w:lang w:eastAsia="zh-CN"/>
        </w:rPr>
        <w:t>分</w:t>
      </w:r>
      <w:r>
        <w:rPr>
          <w:rFonts w:hint="eastAsia" w:ascii="楷体_GB2312" w:hAnsi="楷体_GB2312" w:eastAsia="楷体_GB2312" w:cs="楷体_GB2312"/>
          <w:b w:val="0"/>
          <w:bCs w:val="0"/>
          <w:color w:val="000000"/>
          <w:spacing w:val="0"/>
          <w:w w:val="100"/>
          <w:position w:val="0"/>
          <w:sz w:val="32"/>
          <w:szCs w:val="32"/>
        </w:rPr>
        <w:t>局、区应急局、区委宣传部、区教体局、区民政局、</w:t>
      </w:r>
      <w:r>
        <w:rPr>
          <w:rFonts w:hint="eastAsia" w:ascii="楷体_GB2312" w:hAnsi="楷体_GB2312" w:eastAsia="楷体_GB2312" w:cs="楷体_GB2312"/>
          <w:b w:val="0"/>
          <w:bCs w:val="0"/>
          <w:color w:val="000000"/>
          <w:spacing w:val="0"/>
          <w:w w:val="100"/>
          <w:position w:val="0"/>
          <w:sz w:val="32"/>
          <w:szCs w:val="32"/>
          <w:highlight w:val="none"/>
        </w:rPr>
        <w:t>区自然资源局、</w:t>
      </w:r>
      <w:r>
        <w:rPr>
          <w:rFonts w:hint="eastAsia" w:ascii="楷体_GB2312" w:hAnsi="楷体_GB2312" w:eastAsia="楷体_GB2312" w:cs="楷体_GB2312"/>
          <w:b w:val="0"/>
          <w:bCs w:val="0"/>
          <w:color w:val="000000"/>
          <w:spacing w:val="0"/>
          <w:w w:val="100"/>
          <w:position w:val="0"/>
          <w:sz w:val="32"/>
          <w:szCs w:val="32"/>
        </w:rPr>
        <w:t>区</w:t>
      </w:r>
      <w:r>
        <w:rPr>
          <w:rFonts w:hint="eastAsia" w:ascii="楷体_GB2312" w:hAnsi="楷体_GB2312" w:eastAsia="楷体_GB2312" w:cs="楷体_GB2312"/>
          <w:b w:val="0"/>
          <w:bCs w:val="0"/>
          <w:color w:val="000000"/>
          <w:spacing w:val="0"/>
          <w:w w:val="100"/>
          <w:position w:val="0"/>
          <w:sz w:val="32"/>
          <w:szCs w:val="32"/>
          <w:lang w:eastAsia="zh-CN"/>
        </w:rPr>
        <w:t>交</w:t>
      </w:r>
      <w:r>
        <w:rPr>
          <w:rFonts w:hint="eastAsia" w:ascii="楷体_GB2312" w:hAnsi="楷体_GB2312" w:eastAsia="楷体_GB2312" w:cs="楷体_GB2312"/>
          <w:b w:val="0"/>
          <w:bCs w:val="0"/>
          <w:color w:val="000000"/>
          <w:spacing w:val="0"/>
          <w:w w:val="100"/>
          <w:position w:val="0"/>
          <w:sz w:val="32"/>
          <w:szCs w:val="32"/>
        </w:rPr>
        <w:t>运局、区市场监管局、区妇联）</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2.加强残疾人健康管理服务。常态化开展残疾人健康状况评估调查。稳步提升残疾人家庭医生签约服务率，为残疾人就近就便提供基本医疗、公共卫生、康复护理等个性化服务。加强和改善残疾人医疗服务，为残疾人提供就医便利。强化残疾人心理健康服务。关注残疾妇女健康，开展生殖健康服务。</w:t>
      </w:r>
      <w:r>
        <w:rPr>
          <w:rFonts w:hint="eastAsia" w:ascii="楷体_GB2312" w:hAnsi="楷体_GB2312" w:eastAsia="楷体_GB2312" w:cs="楷体_GB2312"/>
          <w:b w:val="0"/>
          <w:bCs w:val="0"/>
          <w:color w:val="000000"/>
          <w:spacing w:val="0"/>
          <w:w w:val="100"/>
          <w:position w:val="0"/>
          <w:sz w:val="32"/>
          <w:szCs w:val="32"/>
        </w:rPr>
        <w:t>（牵头</w:t>
      </w:r>
      <w:r>
        <w:rPr>
          <w:rFonts w:hint="eastAsia" w:ascii="楷体_GB2312" w:hAnsi="楷体_GB2312" w:eastAsia="楷体_GB2312" w:cs="楷体_GB2312"/>
          <w:b w:val="0"/>
          <w:bCs w:val="0"/>
          <w:color w:val="000000"/>
          <w:spacing w:val="0"/>
          <w:w w:val="100"/>
          <w:position w:val="0"/>
          <w:sz w:val="32"/>
          <w:szCs w:val="32"/>
          <w:lang w:val="en-US" w:eastAsia="zh-CN"/>
        </w:rPr>
        <w:t>单位</w:t>
      </w:r>
      <w:r>
        <w:rPr>
          <w:rFonts w:hint="eastAsia" w:ascii="楷体_GB2312" w:hAnsi="楷体_GB2312" w:eastAsia="楷体_GB2312" w:cs="楷体_GB2312"/>
          <w:b w:val="0"/>
          <w:bCs w:val="0"/>
          <w:color w:val="000000"/>
          <w:spacing w:val="0"/>
          <w:w w:val="100"/>
          <w:position w:val="0"/>
          <w:sz w:val="32"/>
          <w:szCs w:val="32"/>
        </w:rPr>
        <w:t>：区卫健</w:t>
      </w:r>
      <w:r>
        <w:rPr>
          <w:rFonts w:hint="eastAsia" w:ascii="楷体_GB2312" w:hAnsi="楷体_GB2312" w:eastAsia="楷体_GB2312" w:cs="楷体_GB2312"/>
          <w:b w:val="0"/>
          <w:bCs w:val="0"/>
          <w:color w:val="000000"/>
          <w:spacing w:val="0"/>
          <w:w w:val="100"/>
          <w:position w:val="0"/>
          <w:sz w:val="32"/>
          <w:szCs w:val="32"/>
          <w:lang w:val="en-US" w:eastAsia="zh-CN"/>
        </w:rPr>
        <w:t>局</w:t>
      </w:r>
      <w:r>
        <w:rPr>
          <w:rFonts w:hint="eastAsia" w:ascii="楷体_GB2312" w:hAnsi="楷体_GB2312" w:eastAsia="楷体_GB2312" w:cs="楷体_GB2312"/>
          <w:b w:val="0"/>
          <w:bCs w:val="0"/>
          <w:color w:val="000000"/>
          <w:spacing w:val="0"/>
          <w:w w:val="100"/>
          <w:position w:val="0"/>
          <w:sz w:val="32"/>
          <w:szCs w:val="32"/>
        </w:rPr>
        <w:t>；</w:t>
      </w:r>
      <w:r>
        <w:rPr>
          <w:rFonts w:hint="eastAsia" w:ascii="楷体_GB2312" w:hAnsi="楷体_GB2312" w:eastAsia="楷体_GB2312" w:cs="楷体_GB2312"/>
          <w:b w:val="0"/>
          <w:bCs w:val="0"/>
          <w:color w:val="000000"/>
          <w:spacing w:val="0"/>
          <w:w w:val="100"/>
          <w:position w:val="0"/>
          <w:sz w:val="32"/>
          <w:szCs w:val="32"/>
          <w:lang w:val="en-US" w:eastAsia="zh-CN"/>
        </w:rPr>
        <w:t>责任单位</w:t>
      </w:r>
      <w:r>
        <w:rPr>
          <w:rFonts w:hint="eastAsia" w:ascii="楷体_GB2312" w:hAnsi="楷体_GB2312" w:eastAsia="楷体_GB2312" w:cs="楷体_GB2312"/>
          <w:b w:val="0"/>
          <w:bCs w:val="0"/>
          <w:color w:val="000000"/>
          <w:spacing w:val="0"/>
          <w:w w:val="100"/>
          <w:position w:val="0"/>
          <w:sz w:val="32"/>
          <w:szCs w:val="32"/>
        </w:rPr>
        <w:t>：区残联、区医保局、区妇联）</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3.规范残疾儿童康复救助。完善儿童残疾筛查、诊断、康复救助衔接机制，落实残疾儿童康复救助制度及配套政策,保障残疾儿童享有规范有效的基</w:t>
      </w:r>
      <w:r>
        <w:rPr>
          <w:rFonts w:hint="eastAsia" w:ascii="仿宋_GB2312" w:hAnsi="仿宋_GB2312" w:eastAsia="仿宋_GB2312" w:cs="仿宋_GB2312"/>
          <w:b w:val="0"/>
          <w:bCs w:val="0"/>
          <w:color w:val="000000"/>
          <w:spacing w:val="0"/>
          <w:w w:val="100"/>
          <w:position w:val="0"/>
          <w:sz w:val="32"/>
          <w:szCs w:val="32"/>
          <w:lang w:val="en-US" w:eastAsia="zh-CN"/>
        </w:rPr>
        <w:t>本</w:t>
      </w:r>
      <w:r>
        <w:rPr>
          <w:rFonts w:hint="eastAsia" w:ascii="仿宋_GB2312" w:hAnsi="仿宋_GB2312" w:eastAsia="仿宋_GB2312" w:cs="仿宋_GB2312"/>
          <w:b w:val="0"/>
          <w:bCs w:val="0"/>
          <w:color w:val="000000"/>
          <w:spacing w:val="0"/>
          <w:w w:val="100"/>
          <w:position w:val="0"/>
          <w:sz w:val="32"/>
          <w:szCs w:val="32"/>
        </w:rPr>
        <w:t>康复服务。加强残疾儿童康复救助定点服务机构管理，推进残疾儿童康复机构规范化建设。实施脑瘫儿童康复救助专项行动，推动脑瘫儿童康复救助工作提质增效。鼓励医疗卫生机构、儿童福利机构、特教学校开展康复服务，努力构建“医疗+康复+教育”服务体系，促进残疾儿童全面康复与发展。</w:t>
      </w:r>
      <w:r>
        <w:rPr>
          <w:rFonts w:hint="eastAsia" w:ascii="楷体_GB2312" w:hAnsi="楷体_GB2312" w:eastAsia="楷体_GB2312" w:cs="楷体_GB2312"/>
          <w:b w:val="0"/>
          <w:bCs w:val="0"/>
          <w:color w:val="000000"/>
          <w:spacing w:val="0"/>
          <w:w w:val="100"/>
          <w:position w:val="0"/>
          <w:sz w:val="32"/>
          <w:szCs w:val="32"/>
        </w:rPr>
        <w:t>（牵头</w:t>
      </w:r>
      <w:r>
        <w:rPr>
          <w:rFonts w:hint="eastAsia" w:ascii="楷体_GB2312" w:hAnsi="楷体_GB2312" w:eastAsia="楷体_GB2312" w:cs="楷体_GB2312"/>
          <w:b w:val="0"/>
          <w:bCs w:val="0"/>
          <w:color w:val="000000"/>
          <w:spacing w:val="0"/>
          <w:w w:val="100"/>
          <w:position w:val="0"/>
          <w:sz w:val="32"/>
          <w:szCs w:val="32"/>
          <w:lang w:val="en-US" w:eastAsia="zh-CN"/>
        </w:rPr>
        <w:t>单位</w:t>
      </w:r>
      <w:r>
        <w:rPr>
          <w:rFonts w:hint="eastAsia" w:ascii="楷体_GB2312" w:hAnsi="楷体_GB2312" w:eastAsia="楷体_GB2312" w:cs="楷体_GB2312"/>
          <w:b w:val="0"/>
          <w:bCs w:val="0"/>
          <w:color w:val="000000"/>
          <w:spacing w:val="0"/>
          <w:w w:val="100"/>
          <w:position w:val="0"/>
          <w:sz w:val="32"/>
          <w:szCs w:val="32"/>
        </w:rPr>
        <w:t>：区残联;</w:t>
      </w:r>
      <w:r>
        <w:rPr>
          <w:rFonts w:hint="eastAsia" w:ascii="楷体_GB2312" w:hAnsi="楷体_GB2312" w:eastAsia="楷体_GB2312" w:cs="楷体_GB2312"/>
          <w:b w:val="0"/>
          <w:bCs w:val="0"/>
          <w:color w:val="000000"/>
          <w:spacing w:val="0"/>
          <w:w w:val="100"/>
          <w:position w:val="0"/>
          <w:sz w:val="32"/>
          <w:szCs w:val="32"/>
          <w:lang w:val="en-US" w:eastAsia="zh-CN"/>
        </w:rPr>
        <w:t>责任单位</w:t>
      </w:r>
      <w:r>
        <w:rPr>
          <w:rFonts w:hint="eastAsia" w:ascii="楷体_GB2312" w:hAnsi="楷体_GB2312" w:eastAsia="楷体_GB2312" w:cs="楷体_GB2312"/>
          <w:b w:val="0"/>
          <w:bCs w:val="0"/>
          <w:color w:val="000000"/>
          <w:spacing w:val="0"/>
          <w:w w:val="100"/>
          <w:position w:val="0"/>
          <w:sz w:val="32"/>
          <w:szCs w:val="32"/>
        </w:rPr>
        <w:t>：区卫健</w:t>
      </w:r>
      <w:r>
        <w:rPr>
          <w:rFonts w:hint="eastAsia" w:ascii="楷体_GB2312" w:hAnsi="楷体_GB2312" w:eastAsia="楷体_GB2312" w:cs="楷体_GB2312"/>
          <w:b w:val="0"/>
          <w:bCs w:val="0"/>
          <w:color w:val="000000"/>
          <w:spacing w:val="0"/>
          <w:w w:val="100"/>
          <w:position w:val="0"/>
          <w:sz w:val="32"/>
          <w:szCs w:val="32"/>
          <w:lang w:val="en-US" w:eastAsia="zh-CN"/>
        </w:rPr>
        <w:t>局</w:t>
      </w:r>
      <w:r>
        <w:rPr>
          <w:rFonts w:hint="eastAsia" w:ascii="楷体_GB2312" w:hAnsi="楷体_GB2312" w:eastAsia="楷体_GB2312" w:cs="楷体_GB2312"/>
          <w:b w:val="0"/>
          <w:bCs w:val="0"/>
          <w:color w:val="000000"/>
          <w:spacing w:val="0"/>
          <w:w w:val="100"/>
          <w:position w:val="0"/>
          <w:sz w:val="32"/>
          <w:szCs w:val="32"/>
        </w:rPr>
        <w:t>、区教体局、区民政局、区财政局、区市场监管局、区医保局）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4.提升残疾人精准康复服务水平。继续实施残疾人精准康复服务行动，积极推进“互联网+康复服务”，拓宽残疾人康复服务渠道，实现有需求残疾人康复服务全覆盖。推动开展中途致残残疾人康复救助专项行动，实现“康复+培训+就业”一体化闭环式服务。大力开展社区康复，为残疾人提供个性化服务，探索开展残疾人自助互助康复。加强精神卫生综合管理服务，探索开展精神障碍社区康复。发挥区残疾人康复中心作用，引领带动形成覆盖全区的残疾人康复服务网络。加强康复机构监管，推动康复项目规范化管理。加强康复人才队伍建设，提升康复专业技术人员工作能力和水平。</w:t>
      </w:r>
      <w:r>
        <w:rPr>
          <w:rFonts w:hint="eastAsia" w:ascii="楷体_GB2312" w:hAnsi="楷体_GB2312" w:eastAsia="楷体_GB2312" w:cs="楷体_GB2312"/>
          <w:b w:val="0"/>
          <w:bCs w:val="0"/>
          <w:color w:val="000000"/>
          <w:spacing w:val="0"/>
          <w:w w:val="100"/>
          <w:position w:val="0"/>
          <w:sz w:val="32"/>
          <w:szCs w:val="32"/>
        </w:rPr>
        <w:t>（牵头</w:t>
      </w:r>
      <w:r>
        <w:rPr>
          <w:rFonts w:hint="eastAsia" w:ascii="楷体_GB2312" w:hAnsi="楷体_GB2312" w:eastAsia="楷体_GB2312" w:cs="楷体_GB2312"/>
          <w:b w:val="0"/>
          <w:bCs w:val="0"/>
          <w:color w:val="000000"/>
          <w:spacing w:val="0"/>
          <w:w w:val="100"/>
          <w:position w:val="0"/>
          <w:sz w:val="32"/>
          <w:szCs w:val="32"/>
          <w:lang w:val="en-US" w:eastAsia="zh-CN"/>
        </w:rPr>
        <w:t>单位</w:t>
      </w:r>
      <w:r>
        <w:rPr>
          <w:rFonts w:hint="eastAsia" w:ascii="楷体_GB2312" w:hAnsi="楷体_GB2312" w:eastAsia="楷体_GB2312" w:cs="楷体_GB2312"/>
          <w:b w:val="0"/>
          <w:bCs w:val="0"/>
          <w:color w:val="000000"/>
          <w:spacing w:val="0"/>
          <w:w w:val="100"/>
          <w:position w:val="0"/>
          <w:sz w:val="32"/>
          <w:szCs w:val="32"/>
        </w:rPr>
        <w:t>：区残联；</w:t>
      </w:r>
      <w:r>
        <w:rPr>
          <w:rFonts w:hint="eastAsia" w:ascii="楷体_GB2312" w:hAnsi="楷体_GB2312" w:eastAsia="楷体_GB2312" w:cs="楷体_GB2312"/>
          <w:b w:val="0"/>
          <w:bCs w:val="0"/>
          <w:color w:val="000000"/>
          <w:spacing w:val="0"/>
          <w:w w:val="100"/>
          <w:position w:val="0"/>
          <w:sz w:val="32"/>
          <w:szCs w:val="32"/>
          <w:lang w:val="en-US" w:eastAsia="zh-CN"/>
        </w:rPr>
        <w:t>责任单位</w:t>
      </w:r>
      <w:r>
        <w:rPr>
          <w:rFonts w:hint="eastAsia" w:ascii="楷体_GB2312" w:hAnsi="楷体_GB2312" w:eastAsia="楷体_GB2312" w:cs="楷体_GB2312"/>
          <w:b w:val="0"/>
          <w:bCs w:val="0"/>
          <w:color w:val="000000"/>
          <w:spacing w:val="0"/>
          <w:w w:val="100"/>
          <w:position w:val="0"/>
          <w:sz w:val="32"/>
          <w:szCs w:val="32"/>
        </w:rPr>
        <w:t>：区卫健</w:t>
      </w:r>
      <w:r>
        <w:rPr>
          <w:rFonts w:hint="eastAsia" w:ascii="楷体_GB2312" w:hAnsi="楷体_GB2312" w:eastAsia="楷体_GB2312" w:cs="楷体_GB2312"/>
          <w:b w:val="0"/>
          <w:bCs w:val="0"/>
          <w:color w:val="000000"/>
          <w:spacing w:val="0"/>
          <w:w w:val="100"/>
          <w:position w:val="0"/>
          <w:sz w:val="32"/>
          <w:szCs w:val="32"/>
          <w:lang w:val="en-US" w:eastAsia="zh-CN"/>
        </w:rPr>
        <w:t>局</w:t>
      </w:r>
      <w:r>
        <w:rPr>
          <w:rFonts w:hint="eastAsia" w:ascii="楷体_GB2312" w:hAnsi="楷体_GB2312" w:eastAsia="楷体_GB2312" w:cs="楷体_GB2312"/>
          <w:b w:val="0"/>
          <w:bCs w:val="0"/>
          <w:color w:val="000000"/>
          <w:spacing w:val="0"/>
          <w:w w:val="100"/>
          <w:position w:val="0"/>
          <w:sz w:val="32"/>
          <w:szCs w:val="32"/>
        </w:rPr>
        <w:t>、区教体局、区民政局、区人社局、区市场监管局、区医保局、区乡村振兴局）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5.提高残疾人辅助器具服务水平。推进残疾人基本型辅助器具个性化适配工作，让更多残疾人受益。加强辅助器具适配服务网络建设，提升服务能力，积极推广安全适用的基本型辅助器具。鼓励实施公益性康复辅助器具适配项目。</w:t>
      </w:r>
      <w:r>
        <w:rPr>
          <w:rFonts w:hint="eastAsia" w:ascii="楷体_GB2312" w:hAnsi="楷体_GB2312" w:eastAsia="楷体_GB2312" w:cs="楷体_GB2312"/>
          <w:b w:val="0"/>
          <w:bCs w:val="0"/>
          <w:color w:val="000000"/>
          <w:spacing w:val="0"/>
          <w:w w:val="100"/>
          <w:position w:val="0"/>
          <w:sz w:val="32"/>
          <w:szCs w:val="32"/>
        </w:rPr>
        <w:t>（牵头</w:t>
      </w:r>
      <w:r>
        <w:rPr>
          <w:rFonts w:hint="eastAsia" w:ascii="楷体_GB2312" w:hAnsi="楷体_GB2312" w:eastAsia="楷体_GB2312" w:cs="楷体_GB2312"/>
          <w:b w:val="0"/>
          <w:bCs w:val="0"/>
          <w:color w:val="000000"/>
          <w:spacing w:val="0"/>
          <w:w w:val="100"/>
          <w:position w:val="0"/>
          <w:sz w:val="32"/>
          <w:szCs w:val="32"/>
          <w:lang w:val="en-US" w:eastAsia="zh-CN"/>
        </w:rPr>
        <w:t>单位</w:t>
      </w:r>
      <w:r>
        <w:rPr>
          <w:rFonts w:hint="eastAsia" w:ascii="楷体_GB2312" w:hAnsi="楷体_GB2312" w:eastAsia="楷体_GB2312" w:cs="楷体_GB2312"/>
          <w:b w:val="0"/>
          <w:bCs w:val="0"/>
          <w:color w:val="000000"/>
          <w:spacing w:val="0"/>
          <w:w w:val="100"/>
          <w:position w:val="0"/>
          <w:sz w:val="32"/>
          <w:szCs w:val="32"/>
        </w:rPr>
        <w:t>：区民政局、区残联；</w:t>
      </w:r>
      <w:r>
        <w:rPr>
          <w:rFonts w:hint="eastAsia" w:ascii="楷体_GB2312" w:hAnsi="楷体_GB2312" w:eastAsia="楷体_GB2312" w:cs="楷体_GB2312"/>
          <w:b w:val="0"/>
          <w:bCs w:val="0"/>
          <w:color w:val="000000"/>
          <w:spacing w:val="0"/>
          <w:w w:val="100"/>
          <w:position w:val="0"/>
          <w:sz w:val="32"/>
          <w:szCs w:val="32"/>
          <w:lang w:val="en-US" w:eastAsia="zh-CN"/>
        </w:rPr>
        <w:t>责任单位</w:t>
      </w:r>
      <w:r>
        <w:rPr>
          <w:rFonts w:hint="eastAsia" w:ascii="楷体_GB2312" w:hAnsi="楷体_GB2312" w:eastAsia="楷体_GB2312" w:cs="楷体_GB2312"/>
          <w:b w:val="0"/>
          <w:bCs w:val="0"/>
          <w:color w:val="000000"/>
          <w:spacing w:val="0"/>
          <w:w w:val="100"/>
          <w:position w:val="0"/>
          <w:sz w:val="32"/>
          <w:szCs w:val="32"/>
        </w:rPr>
        <w:t>：区工信局、区卫健</w:t>
      </w:r>
      <w:r>
        <w:rPr>
          <w:rFonts w:hint="eastAsia" w:ascii="楷体_GB2312" w:hAnsi="楷体_GB2312" w:eastAsia="楷体_GB2312" w:cs="楷体_GB2312"/>
          <w:b w:val="0"/>
          <w:bCs w:val="0"/>
          <w:color w:val="000000"/>
          <w:spacing w:val="0"/>
          <w:w w:val="100"/>
          <w:position w:val="0"/>
          <w:sz w:val="32"/>
          <w:szCs w:val="32"/>
          <w:lang w:val="en-US" w:eastAsia="zh-CN"/>
        </w:rPr>
        <w:t>局</w:t>
      </w:r>
      <w:r>
        <w:rPr>
          <w:rFonts w:hint="eastAsia" w:ascii="楷体_GB2312" w:hAnsi="楷体_GB2312" w:eastAsia="楷体_GB2312" w:cs="楷体_GB2312"/>
          <w:b w:val="0"/>
          <w:bCs w:val="0"/>
          <w:color w:val="000000"/>
          <w:spacing w:val="0"/>
          <w:w w:val="100"/>
          <w:position w:val="0"/>
          <w:sz w:val="32"/>
          <w:szCs w:val="32"/>
        </w:rPr>
        <w:t>、区市场监管局）</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638" w:leftChars="304" w:right="0" w:firstLine="960" w:firstLineChars="300"/>
              <w:jc w:val="both"/>
              <w:textAlignment w:val="auto"/>
              <w:outlineLvl w:val="9"/>
              <w:rPr>
                <w:rFonts w:hint="eastAsia" w:ascii="黑体" w:hAnsi="黑体" w:eastAsia="黑体" w:cs="黑体"/>
                <w:b w:val="0"/>
                <w:bCs w:val="0"/>
                <w:color w:val="000000"/>
                <w:spacing w:val="0"/>
                <w:w w:val="100"/>
                <w:position w:val="0"/>
                <w:sz w:val="32"/>
                <w:szCs w:val="32"/>
                <w:vertAlign w:val="baseline"/>
              </w:rPr>
            </w:pPr>
            <w:r>
              <w:rPr>
                <w:rFonts w:hint="eastAsia" w:ascii="黑体" w:hAnsi="黑体" w:eastAsia="黑体" w:cs="黑体"/>
                <w:b w:val="0"/>
                <w:bCs w:val="0"/>
                <w:color w:val="000000"/>
                <w:spacing w:val="0"/>
                <w:w w:val="100"/>
                <w:position w:val="0"/>
                <w:sz w:val="32"/>
                <w:szCs w:val="32"/>
                <w:vertAlign w:val="baseline"/>
                <w:lang w:val="en-US" w:eastAsia="zh-CN"/>
              </w:rPr>
              <w:t xml:space="preserve">专栏2   </w:t>
            </w:r>
            <w:r>
              <w:rPr>
                <w:rFonts w:hint="eastAsia" w:ascii="黑体" w:hAnsi="黑体" w:eastAsia="黑体" w:cs="黑体"/>
                <w:b w:val="0"/>
                <w:bCs w:val="0"/>
                <w:color w:val="000000"/>
                <w:spacing w:val="0"/>
                <w:w w:val="100"/>
                <w:position w:val="0"/>
                <w:sz w:val="32"/>
                <w:szCs w:val="32"/>
                <w:vertAlign w:val="baseline"/>
              </w:rPr>
              <w:t>残疾人健康和康复服务项目</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right="0" w:firstLine="560" w:firstLineChars="200"/>
              <w:jc w:val="both"/>
              <w:textAlignment w:val="auto"/>
              <w:outlineLvl w:val="9"/>
              <w:rPr>
                <w:rFonts w:hint="eastAsia" w:ascii="仿宋" w:hAnsi="仿宋" w:eastAsia="仿宋" w:cs="仿宋"/>
                <w:b w:val="0"/>
                <w:bCs w:val="0"/>
                <w:color w:val="000000"/>
                <w:spacing w:val="0"/>
                <w:w w:val="100"/>
                <w:position w:val="0"/>
                <w:sz w:val="28"/>
                <w:szCs w:val="28"/>
                <w:vertAlign w:val="baseline"/>
              </w:rPr>
            </w:pPr>
            <w:r>
              <w:rPr>
                <w:rFonts w:hint="eastAsia" w:ascii="黑体" w:hAnsi="黑体" w:eastAsia="黑体" w:cs="黑体"/>
                <w:b w:val="0"/>
                <w:bCs w:val="0"/>
                <w:color w:val="000000"/>
                <w:spacing w:val="0"/>
                <w:w w:val="100"/>
                <w:position w:val="0"/>
                <w:sz w:val="28"/>
                <w:szCs w:val="28"/>
                <w:vertAlign w:val="baseline"/>
              </w:rPr>
              <w:t>残疾人精准康复服务行动</w:t>
            </w:r>
            <w:r>
              <w:rPr>
                <w:rFonts w:hint="eastAsia" w:ascii="楷体_GB2312" w:hAnsi="楷体_GB2312" w:eastAsia="楷体_GB2312" w:cs="楷体_GB2312"/>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position w:val="0"/>
                <w:sz w:val="28"/>
                <w:szCs w:val="28"/>
              </w:rPr>
              <w:t>为有康复需求的残疾人提供康复医疗、康复训练、辅助器具适配及支持性服务等基本康复服务。</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rPr>
            </w:pPr>
            <w:r>
              <w:rPr>
                <w:rFonts w:hint="eastAsia" w:ascii="黑体" w:hAnsi="黑体" w:eastAsia="黑体" w:cs="黑体"/>
                <w:b w:val="0"/>
                <w:bCs w:val="0"/>
                <w:color w:val="000000"/>
                <w:spacing w:val="0"/>
                <w:w w:val="100"/>
                <w:position w:val="0"/>
                <w:sz w:val="28"/>
                <w:szCs w:val="28"/>
                <w:vertAlign w:val="baseline"/>
              </w:rPr>
              <w:t xml:space="preserve">残疾儿童康复救助 </w:t>
            </w:r>
            <w:r>
              <w:rPr>
                <w:rFonts w:hint="eastAsia" w:ascii="仿宋" w:hAnsi="仿宋" w:eastAsia="仿宋" w:cs="仿宋"/>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position w:val="0"/>
                <w:sz w:val="28"/>
                <w:szCs w:val="28"/>
              </w:rPr>
              <w:t>为符合条件的听力残疾儿童、肢体残疾儿童实施人工耳蜗植入救助手术和肢残矫治救助手术，为有辅助器具需求的残疾儿童适配基本型辅助器具，为有康复需求的残疾儿童提供康复训练等服务。</w:t>
            </w:r>
            <w:r>
              <w:rPr>
                <w:rFonts w:hint="eastAsia" w:ascii="楷体_GB2312" w:hAnsi="楷体_GB2312" w:eastAsia="楷体_GB2312" w:cs="楷体_GB2312"/>
                <w:b w:val="0"/>
                <w:bCs w:val="0"/>
                <w:color w:val="000000"/>
                <w:spacing w:val="0"/>
                <w:w w:val="100"/>
                <w:position w:val="0"/>
                <w:sz w:val="28"/>
                <w:szCs w:val="28"/>
              </w:rPr>
              <w:tab/>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560" w:firstLineChars="200"/>
              <w:jc w:val="both"/>
              <w:textAlignment w:val="auto"/>
              <w:outlineLvl w:val="9"/>
              <w:rPr>
                <w:rFonts w:hint="eastAsia" w:ascii="仿宋" w:hAnsi="仿宋" w:eastAsia="仿宋" w:cs="仿宋"/>
                <w:b w:val="0"/>
                <w:bCs w:val="0"/>
                <w:color w:val="000000"/>
                <w:spacing w:val="0"/>
                <w:w w:val="100"/>
                <w:position w:val="0"/>
                <w:sz w:val="28"/>
                <w:szCs w:val="28"/>
                <w:vertAlign w:val="baseline"/>
              </w:rPr>
            </w:pPr>
            <w:r>
              <w:rPr>
                <w:rFonts w:hint="eastAsia" w:ascii="黑体" w:hAnsi="黑体" w:eastAsia="黑体" w:cs="黑体"/>
                <w:b w:val="0"/>
                <w:bCs w:val="0"/>
                <w:color w:val="000000"/>
                <w:spacing w:val="0"/>
                <w:w w:val="100"/>
                <w:position w:val="0"/>
                <w:sz w:val="28"/>
                <w:szCs w:val="28"/>
                <w:vertAlign w:val="baseline"/>
              </w:rPr>
              <w:t>残疾儿童定点康复机构规范提升项目</w:t>
            </w:r>
            <w:r>
              <w:rPr>
                <w:rFonts w:hint="eastAsia" w:ascii="仿宋" w:hAnsi="仿宋" w:eastAsia="仿宋" w:cs="仿宋"/>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position w:val="0"/>
                <w:sz w:val="28"/>
                <w:szCs w:val="28"/>
              </w:rPr>
              <w:t>规范残疾儿童定点康复机构管理，鼓励有条件的地方改扩建或新建示范性残疾儿童定点康复机构，依法取得</w:t>
            </w:r>
            <w:r>
              <w:rPr>
                <w:rFonts w:hint="eastAsia" w:ascii="楷体_GB2312" w:hAnsi="楷体_GB2312" w:eastAsia="楷体_GB2312" w:cs="楷体_GB2312"/>
                <w:b w:val="0"/>
                <w:bCs w:val="0"/>
                <w:color w:val="000000"/>
                <w:spacing w:val="0"/>
                <w:w w:val="100"/>
                <w:position w:val="0"/>
                <w:sz w:val="28"/>
                <w:szCs w:val="28"/>
                <w:lang w:val="en-US" w:eastAsia="zh-CN"/>
              </w:rPr>
              <w:t>医</w:t>
            </w:r>
            <w:r>
              <w:rPr>
                <w:rFonts w:hint="eastAsia" w:ascii="楷体_GB2312" w:hAnsi="楷体_GB2312" w:eastAsia="楷体_GB2312" w:cs="楷体_GB2312"/>
                <w:b w:val="0"/>
                <w:bCs w:val="0"/>
                <w:color w:val="000000"/>
                <w:spacing w:val="0"/>
                <w:w w:val="100"/>
                <w:position w:val="0"/>
                <w:sz w:val="28"/>
                <w:szCs w:val="28"/>
              </w:rPr>
              <w:t>疗、教育等资质，设施设备、技术人员达到一定规模、能为残疾儿童提供医康教融合的规范高效救助服务。</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rPr>
            </w:pPr>
            <w:r>
              <w:rPr>
                <w:rFonts w:hint="eastAsia" w:ascii="黑体" w:hAnsi="黑体" w:eastAsia="黑体" w:cs="黑体"/>
                <w:b w:val="0"/>
                <w:bCs w:val="0"/>
                <w:color w:val="000000"/>
                <w:spacing w:val="0"/>
                <w:w w:val="100"/>
                <w:position w:val="0"/>
                <w:sz w:val="28"/>
                <w:szCs w:val="28"/>
                <w:vertAlign w:val="baseline"/>
              </w:rPr>
              <w:t>脑瘫儿童康复救助专项行动</w:t>
            </w:r>
            <w:r>
              <w:rPr>
                <w:rFonts w:hint="eastAsia" w:ascii="仿宋" w:hAnsi="仿宋" w:eastAsia="仿宋" w:cs="仿宋"/>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position w:val="0"/>
                <w:sz w:val="28"/>
                <w:szCs w:val="28"/>
              </w:rPr>
              <w:t>推动脑瘫儿童残疾预防、筛查诊断、康复医疗、康教融合等全流程救助，不断满足脑瘫儿童全面康复需求。</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right="0" w:firstLine="560" w:firstLineChars="200"/>
              <w:jc w:val="both"/>
              <w:textAlignment w:val="auto"/>
              <w:outlineLvl w:val="9"/>
              <w:rPr>
                <w:rFonts w:hint="eastAsia" w:ascii="仿宋" w:hAnsi="仿宋" w:eastAsia="仿宋" w:cs="仿宋"/>
                <w:b w:val="0"/>
                <w:bCs w:val="0"/>
                <w:color w:val="000000"/>
                <w:spacing w:val="0"/>
                <w:w w:val="100"/>
                <w:position w:val="0"/>
                <w:sz w:val="32"/>
                <w:szCs w:val="32"/>
                <w:vertAlign w:val="baseline"/>
              </w:rPr>
            </w:pPr>
            <w:r>
              <w:rPr>
                <w:rFonts w:hint="eastAsia" w:ascii="黑体" w:hAnsi="黑体" w:eastAsia="黑体" w:cs="黑体"/>
                <w:b w:val="0"/>
                <w:bCs w:val="0"/>
                <w:color w:val="000000"/>
                <w:spacing w:val="0"/>
                <w:w w:val="100"/>
                <w:position w:val="0"/>
                <w:sz w:val="28"/>
                <w:szCs w:val="28"/>
                <w:vertAlign w:val="baseline"/>
              </w:rPr>
              <w:t>中途致残残疾人康复救助专项行动</w:t>
            </w:r>
            <w:r>
              <w:rPr>
                <w:rFonts w:hint="eastAsia" w:ascii="仿宋" w:hAnsi="仿宋" w:eastAsia="仿宋" w:cs="仿宋"/>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position w:val="0"/>
                <w:sz w:val="28"/>
                <w:szCs w:val="28"/>
              </w:rPr>
              <w:t>探索和创新残疾人精准康复服务模式，为符合条件的脊髓损伤、语后聋、中途失明等中途致残残疾人提供功能重建康复救助，帮助其融入社会；探索开展精神障碍患者家属专家交流互助等残疾人互助康复项目。</w:t>
            </w:r>
          </w:p>
        </w:tc>
      </w:tr>
    </w:tbl>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楷体_GB2312" w:hAnsi="楷体_GB2312" w:eastAsia="楷体_GB2312" w:cs="楷体_GB2312"/>
          <w:b w:val="0"/>
          <w:bCs w:val="0"/>
          <w:color w:val="000000"/>
          <w:spacing w:val="0"/>
          <w:w w:val="100"/>
          <w:position w:val="0"/>
          <w:sz w:val="32"/>
          <w:szCs w:val="32"/>
        </w:rPr>
        <w:t>（三）优化残疾人就业创业机制，让残疾人过上更可持续更有尊严的生活。</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 w:hAnsi="仿宋" w:eastAsia="仿宋" w:cs="仿宋"/>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完善残疾人就业创业政策。健全完善残疾人就业资金投入机制，保障残疾人就业培训、奖励补贴、就业服务等各项支出。加强残疾人就业促进与社会保障政策衔接，保障残疾人依法享受低保渐退、收入减扣、个税减免等政策，规范辅助性就业劳动报酬管理，根据不同情形在计算家庭收入时可给予适当扣除。对残疾人自主创业就业、参加就业见习和职业技能培训，按规定给予补贴。对招录残疾人的用人单位、辅助性就业机构和公益性岗位安置残疾人的用人单位给予扶持。建立残疾人就业激励制度，对残疾人职业技能人才、超比例安排残疾人就业的单位给予奖励。</w:t>
      </w:r>
      <w:r>
        <w:rPr>
          <w:rFonts w:hint="eastAsia" w:ascii="楷体_GB2312" w:hAnsi="楷体_GB2312" w:eastAsia="楷体_GB2312" w:cs="楷体_GB2312"/>
          <w:b w:val="0"/>
          <w:bCs w:val="0"/>
          <w:color w:val="000000"/>
          <w:spacing w:val="0"/>
          <w:w w:val="100"/>
          <w:position w:val="0"/>
          <w:sz w:val="32"/>
          <w:szCs w:val="32"/>
          <w:lang w:val="en-US" w:eastAsia="zh-CN"/>
        </w:rPr>
        <w:t>（牵头单位：区残联、区人社局；责任单位：区民政局、区财政局、区税务局、区发改局、区退役军人事务局）</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8522" w:type="dxa"/>
            <w:vAlign w:val="top"/>
          </w:tcPr>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黑体" w:hAnsi="黑体" w:eastAsia="黑体" w:cs="黑体"/>
                <w:b w:val="0"/>
                <w:bCs w:val="0"/>
                <w:color w:val="000000"/>
                <w:spacing w:val="0"/>
                <w:w w:val="100"/>
                <w:position w:val="0"/>
                <w:sz w:val="32"/>
                <w:szCs w:val="32"/>
                <w:lang w:val="en-US" w:eastAsia="zh-CN"/>
              </w:rPr>
            </w:pPr>
            <w:r>
              <w:rPr>
                <w:rFonts w:hint="eastAsia" w:ascii="黑体" w:hAnsi="黑体" w:eastAsia="黑体" w:cs="黑体"/>
                <w:b w:val="0"/>
                <w:bCs w:val="0"/>
                <w:color w:val="000000"/>
                <w:spacing w:val="0"/>
                <w:w w:val="100"/>
                <w:position w:val="0"/>
                <w:sz w:val="32"/>
                <w:szCs w:val="32"/>
                <w:lang w:val="en-US" w:eastAsia="zh-CN"/>
              </w:rPr>
              <w:t xml:space="preserve">专栏3   </w:t>
            </w:r>
            <w:r>
              <w:rPr>
                <w:rFonts w:hint="eastAsia" w:ascii="黑体" w:hAnsi="黑体" w:eastAsia="黑体" w:cs="黑体"/>
                <w:b w:val="0"/>
                <w:bCs w:val="0"/>
                <w:color w:val="000000"/>
                <w:spacing w:val="0"/>
                <w:w w:val="100"/>
                <w:position w:val="0"/>
                <w:sz w:val="32"/>
                <w:szCs w:val="32"/>
              </w:rPr>
              <w:t>残疾人就业补贴奖励项目</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rPr>
            </w:pPr>
            <w:r>
              <w:rPr>
                <w:rFonts w:hint="eastAsia" w:ascii="黑体" w:hAnsi="黑体" w:eastAsia="黑体" w:cs="黑体"/>
                <w:b w:val="0"/>
                <w:bCs w:val="0"/>
                <w:color w:val="000000"/>
                <w:spacing w:val="0"/>
                <w:w w:val="100"/>
                <w:position w:val="0"/>
                <w:sz w:val="28"/>
                <w:szCs w:val="28"/>
                <w:lang w:val="en-US" w:eastAsia="zh-CN"/>
              </w:rPr>
              <w:t xml:space="preserve">残疾人自主创业灵活就业补贴 </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28"/>
                <w:szCs w:val="28"/>
              </w:rPr>
              <w:t>对自主创业、灵活就业的残疾人按规定给予创业场所租货补贴、社会保险补贴、职业培训补贴、设施设备购置补贴、网络资费补助、职业技能鉴定补贴、一次性创业补贴等。</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rPr>
            </w:pPr>
            <w:r>
              <w:rPr>
                <w:rFonts w:hint="eastAsia" w:ascii="黑体" w:hAnsi="黑体" w:eastAsia="黑体" w:cs="黑体"/>
                <w:b w:val="0"/>
                <w:bCs w:val="0"/>
                <w:color w:val="000000"/>
                <w:spacing w:val="0"/>
                <w:w w:val="100"/>
                <w:position w:val="0"/>
                <w:sz w:val="28"/>
                <w:szCs w:val="28"/>
                <w:lang w:val="en-US" w:eastAsia="zh-CN"/>
              </w:rPr>
              <w:t xml:space="preserve">残疾青年见习补贴 </w:t>
            </w:r>
            <w:r>
              <w:rPr>
                <w:rFonts w:hint="eastAsia" w:ascii="楷体" w:hAnsi="楷体" w:eastAsia="楷体" w:cs="楷体"/>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position w:val="0"/>
                <w:sz w:val="28"/>
                <w:szCs w:val="28"/>
              </w:rPr>
              <w:t>对符合条件的残疾青年在见习期间给予不低于当地最低工资标准的基本生活费。</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rPr>
            </w:pPr>
            <w:r>
              <w:rPr>
                <w:rFonts w:hint="eastAsia" w:ascii="黑体" w:hAnsi="黑体" w:eastAsia="黑体" w:cs="黑体"/>
                <w:b w:val="0"/>
                <w:bCs w:val="0"/>
                <w:color w:val="000000"/>
                <w:spacing w:val="0"/>
                <w:w w:val="100"/>
                <w:position w:val="0"/>
                <w:sz w:val="28"/>
                <w:szCs w:val="28"/>
                <w:lang w:val="en-US" w:eastAsia="zh-CN"/>
              </w:rPr>
              <w:t xml:space="preserve">招录残疾人的用人单位补贴  </w:t>
            </w:r>
            <w:r>
              <w:rPr>
                <w:rFonts w:hint="eastAsia" w:ascii="楷体_GB2312" w:hAnsi="楷体_GB2312" w:eastAsia="楷体_GB2312" w:cs="楷体_GB2312"/>
                <w:b w:val="0"/>
                <w:bCs w:val="0"/>
                <w:color w:val="000000"/>
                <w:spacing w:val="0"/>
                <w:w w:val="100"/>
                <w:position w:val="0"/>
                <w:sz w:val="28"/>
                <w:szCs w:val="28"/>
              </w:rPr>
              <w:t>对招录残疾人用人单位按规定给予岗位补贴、社会保险补贴、职业培训补贴、无障碍设施设备购置改造补贴；对吸纳登记失业残疾人和</w:t>
            </w:r>
            <w:r>
              <w:rPr>
                <w:rFonts w:hint="eastAsia" w:ascii="楷体_GB2312" w:hAnsi="楷体_GB2312" w:eastAsia="楷体_GB2312" w:cs="楷体_GB2312"/>
                <w:b w:val="0"/>
                <w:bCs w:val="0"/>
                <w:color w:val="000000"/>
                <w:spacing w:val="0"/>
                <w:w w:val="100"/>
                <w:position w:val="0"/>
                <w:sz w:val="28"/>
                <w:szCs w:val="28"/>
                <w:lang w:val="en-US" w:eastAsia="zh-CN"/>
              </w:rPr>
              <w:t>应届</w:t>
            </w:r>
            <w:r>
              <w:rPr>
                <w:rFonts w:hint="eastAsia" w:ascii="楷体_GB2312" w:hAnsi="楷体_GB2312" w:eastAsia="楷体_GB2312" w:cs="楷体_GB2312"/>
                <w:b w:val="0"/>
                <w:bCs w:val="0"/>
                <w:color w:val="000000"/>
                <w:spacing w:val="0"/>
                <w:w w:val="100"/>
                <w:position w:val="0"/>
                <w:sz w:val="28"/>
                <w:szCs w:val="28"/>
              </w:rPr>
              <w:t>高校残疾人毕业生就业的小微企业，按规定给予一次性创业岗位开发补贴；对安排符合条件的残疾人参加见习的见习单位给予就业见习补贴。</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rPr>
            </w:pPr>
            <w:r>
              <w:rPr>
                <w:rFonts w:hint="eastAsia" w:ascii="黑体" w:hAnsi="黑体" w:eastAsia="黑体" w:cs="黑体"/>
                <w:b w:val="0"/>
                <w:bCs w:val="0"/>
                <w:color w:val="000000"/>
                <w:spacing w:val="0"/>
                <w:w w:val="100"/>
                <w:position w:val="0"/>
                <w:sz w:val="28"/>
                <w:szCs w:val="28"/>
                <w:lang w:val="en-US" w:eastAsia="zh-CN"/>
              </w:rPr>
              <w:t xml:space="preserve">公益性岗位安排残疾人就业的用人单位补贴 </w:t>
            </w:r>
            <w:r>
              <w:rPr>
                <w:rFonts w:hint="eastAsia" w:ascii="楷体" w:hAnsi="楷体" w:eastAsia="楷体" w:cs="楷体"/>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position w:val="0"/>
                <w:sz w:val="28"/>
                <w:szCs w:val="28"/>
              </w:rPr>
              <w:t xml:space="preserve">对通过公益性岗位安置残疾人就业并缴纳职工社会保险费的用人单位，按规定给予社会保险补贴。 </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rPr>
            </w:pPr>
            <w:r>
              <w:rPr>
                <w:rFonts w:hint="eastAsia" w:ascii="黑体" w:hAnsi="黑体" w:eastAsia="黑体" w:cs="黑体"/>
                <w:b w:val="0"/>
                <w:bCs w:val="0"/>
                <w:color w:val="000000"/>
                <w:spacing w:val="0"/>
                <w:w w:val="100"/>
                <w:position w:val="0"/>
                <w:sz w:val="28"/>
                <w:szCs w:val="28"/>
                <w:lang w:val="en-US" w:eastAsia="zh-CN"/>
              </w:rPr>
              <w:t xml:space="preserve">安置残疾人就业奖励  </w:t>
            </w:r>
            <w:r>
              <w:rPr>
                <w:rFonts w:hint="eastAsia" w:ascii="楷体_GB2312" w:hAnsi="楷体_GB2312" w:eastAsia="楷体_GB2312" w:cs="楷体_GB2312"/>
                <w:b w:val="0"/>
                <w:bCs w:val="0"/>
                <w:color w:val="000000"/>
                <w:spacing w:val="0"/>
                <w:w w:val="100"/>
                <w:position w:val="0"/>
                <w:sz w:val="28"/>
                <w:szCs w:val="28"/>
              </w:rPr>
              <w:t>对超比例安排残疾人就业的用人单位给予奖励。对残疾人就业基地按规定给予奖励。</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rPr>
            </w:pPr>
            <w:r>
              <w:rPr>
                <w:rFonts w:hint="eastAsia" w:ascii="黑体" w:hAnsi="黑体" w:eastAsia="黑体" w:cs="黑体"/>
                <w:b w:val="0"/>
                <w:bCs w:val="0"/>
                <w:color w:val="000000"/>
                <w:spacing w:val="0"/>
                <w:w w:val="100"/>
                <w:position w:val="0"/>
                <w:sz w:val="28"/>
                <w:szCs w:val="28"/>
                <w:lang w:val="en-US" w:eastAsia="zh-CN"/>
              </w:rPr>
              <w:t xml:space="preserve">残疾人就业服务奖励 </w:t>
            </w:r>
            <w:r>
              <w:rPr>
                <w:rFonts w:hint="eastAsia" w:ascii="楷体" w:hAnsi="楷体" w:eastAsia="楷体" w:cs="楷体"/>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position w:val="0"/>
                <w:sz w:val="28"/>
                <w:szCs w:val="28"/>
              </w:rPr>
              <w:t>对推荐残疾人稳定就业一年以上的人力资源服务机构、社会组织、就业创业网络服务平台给予奖励。对为辅助性就业机构提供就业项目、经营场地等方面支持做出显著成绩的企业或单位给予奖励。</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仿宋" w:hAnsi="仿宋" w:eastAsia="仿宋" w:cs="仿宋"/>
                <w:b w:val="0"/>
                <w:bCs w:val="0"/>
                <w:color w:val="000000"/>
                <w:spacing w:val="0"/>
                <w:w w:val="100"/>
                <w:position w:val="0"/>
                <w:sz w:val="32"/>
                <w:szCs w:val="32"/>
                <w:vertAlign w:val="baseline"/>
              </w:rPr>
            </w:pPr>
            <w:r>
              <w:rPr>
                <w:rFonts w:hint="eastAsia" w:ascii="黑体" w:hAnsi="黑体" w:eastAsia="黑体" w:cs="黑体"/>
                <w:b w:val="0"/>
                <w:bCs w:val="0"/>
                <w:color w:val="000000"/>
                <w:spacing w:val="0"/>
                <w:w w:val="100"/>
                <w:position w:val="0"/>
                <w:sz w:val="28"/>
                <w:szCs w:val="28"/>
                <w:lang w:val="en-US" w:eastAsia="zh-CN"/>
              </w:rPr>
              <w:t xml:space="preserve">残疾人技能人才奖励 </w:t>
            </w:r>
            <w:r>
              <w:rPr>
                <w:rFonts w:hint="eastAsia" w:ascii="楷体" w:hAnsi="楷体" w:eastAsia="楷体" w:cs="楷体"/>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position w:val="0"/>
                <w:sz w:val="28"/>
                <w:szCs w:val="28"/>
              </w:rPr>
              <w:t>对参加各类残疾人职业技能竞赛获奖选手、残疾人创业标兵，按照有关规定给予奖励。</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vertAlign w:val="baseline"/>
        </w:rPr>
        <w:t>2.多渠道多形式促进残疾人就业创业。</w:t>
      </w:r>
      <w:r>
        <w:rPr>
          <w:rFonts w:hint="eastAsia" w:ascii="仿宋_GB2312" w:hAnsi="仿宋_GB2312" w:eastAsia="仿宋_GB2312" w:cs="仿宋_GB2312"/>
          <w:b w:val="0"/>
          <w:bCs w:val="0"/>
          <w:color w:val="000000"/>
          <w:spacing w:val="0"/>
          <w:w w:val="100"/>
          <w:position w:val="0"/>
          <w:sz w:val="32"/>
          <w:szCs w:val="32"/>
        </w:rPr>
        <w:t>完善残疾人按比例就业制度，规范按比例就业审核，实现“全程网办”。未按比例安排残疾人就业且拒缴、少缴残疾人就业保障金的纳入用人单位信用记录。稳定残疾人集中就业，扶持残疾人自主创业、灵活就业，鼓励残疾人通过新就业形态实现就业。积极开发适合残疾人就业的城乡公益性岗位，进一步扩大残疾人安置规模。加大辅助性就业机构支持力度，为智力、精神和重度肢体残疾人就近就便就业提供服务。</w:t>
      </w:r>
      <w:r>
        <w:rPr>
          <w:rFonts w:hint="eastAsia" w:ascii="仿宋_GB2312" w:hAnsi="仿宋_GB2312" w:eastAsia="仿宋_GB2312" w:cs="仿宋_GB2312"/>
          <w:b w:val="0"/>
          <w:bCs w:val="0"/>
          <w:color w:val="000000"/>
          <w:spacing w:val="0"/>
          <w:w w:val="100"/>
          <w:position w:val="0"/>
          <w:sz w:val="32"/>
          <w:szCs w:val="32"/>
          <w:lang w:val="en-US" w:eastAsia="zh-CN"/>
        </w:rPr>
        <w:t>按照盲人按摩服务地方标准，</w:t>
      </w:r>
      <w:r>
        <w:rPr>
          <w:rFonts w:hint="eastAsia" w:ascii="仿宋_GB2312" w:hAnsi="仿宋_GB2312" w:eastAsia="仿宋_GB2312" w:cs="仿宋_GB2312"/>
          <w:b w:val="0"/>
          <w:bCs w:val="0"/>
          <w:color w:val="000000"/>
          <w:spacing w:val="0"/>
          <w:w w:val="100"/>
          <w:position w:val="0"/>
          <w:sz w:val="32"/>
          <w:szCs w:val="32"/>
          <w:u w:val="none"/>
        </w:rPr>
        <w:t>扶持和规范盲人按摩产业发展</w:t>
      </w:r>
      <w:r>
        <w:rPr>
          <w:rFonts w:hint="eastAsia" w:ascii="仿宋_GB2312" w:hAnsi="仿宋_GB2312" w:eastAsia="仿宋_GB2312" w:cs="仿宋_GB2312"/>
          <w:b w:val="0"/>
          <w:bCs w:val="0"/>
          <w:color w:val="000000"/>
          <w:spacing w:val="0"/>
          <w:w w:val="100"/>
          <w:position w:val="0"/>
          <w:sz w:val="32"/>
          <w:szCs w:val="32"/>
        </w:rPr>
        <w:t>。开辟盲人在文化艺术、心理卫生和互联网服务等领域就业新渠道。</w:t>
      </w:r>
      <w:r>
        <w:rPr>
          <w:rFonts w:hint="eastAsia" w:ascii="楷体_GB2312" w:hAnsi="楷体_GB2312" w:eastAsia="楷体_GB2312" w:cs="楷体_GB2312"/>
          <w:b w:val="0"/>
          <w:bCs w:val="0"/>
          <w:color w:val="000000"/>
          <w:spacing w:val="0"/>
          <w:w w:val="100"/>
          <w:position w:val="0"/>
          <w:sz w:val="32"/>
          <w:szCs w:val="32"/>
          <w:lang w:val="en-US" w:eastAsia="zh-CN"/>
        </w:rPr>
        <w:t>（牵头单位：区残联、区人社局；责任单位：区委组织部、区卫健局、区税务局、区财政局、区发改局）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vertAlign w:val="baseline"/>
        </w:rPr>
        <w:t>3.提升残疾人职业技能。</w:t>
      </w:r>
      <w:r>
        <w:rPr>
          <w:rFonts w:hint="eastAsia" w:ascii="仿宋_GB2312" w:hAnsi="仿宋_GB2312" w:eastAsia="仿宋_GB2312" w:cs="仿宋_GB2312"/>
          <w:b w:val="0"/>
          <w:bCs w:val="0"/>
          <w:color w:val="000000"/>
          <w:spacing w:val="0"/>
          <w:w w:val="100"/>
          <w:position w:val="0"/>
          <w:sz w:val="32"/>
          <w:szCs w:val="32"/>
          <w:vertAlign w:val="baseline"/>
          <w:lang w:val="en-US" w:eastAsia="zh-CN"/>
        </w:rPr>
        <w:t>按照残疾人职业技能提升计划，</w:t>
      </w:r>
      <w:r>
        <w:rPr>
          <w:rFonts w:hint="eastAsia" w:ascii="仿宋_GB2312" w:hAnsi="仿宋_GB2312" w:eastAsia="仿宋_GB2312" w:cs="仿宋_GB2312"/>
          <w:b w:val="0"/>
          <w:bCs w:val="0"/>
          <w:color w:val="000000"/>
          <w:spacing w:val="0"/>
          <w:w w:val="100"/>
          <w:position w:val="0"/>
          <w:sz w:val="32"/>
          <w:szCs w:val="32"/>
          <w:vertAlign w:val="baseline"/>
        </w:rPr>
        <w:t>深入开展残疾人职业技能和农村实用技术培训。开展非遗技能培训，扶持建立一批残疾人非遗工匠工作室。建设残疾人就业创业网络服务平台，建立职业培训优质课程资源库。组织参加</w:t>
      </w:r>
      <w:r>
        <w:rPr>
          <w:rFonts w:hint="eastAsia" w:ascii="仿宋_GB2312" w:hAnsi="仿宋_GB2312" w:eastAsia="仿宋_GB2312" w:cs="仿宋_GB2312"/>
          <w:b w:val="0"/>
          <w:bCs w:val="0"/>
          <w:color w:val="000000"/>
          <w:spacing w:val="0"/>
          <w:w w:val="100"/>
          <w:position w:val="0"/>
          <w:sz w:val="32"/>
          <w:szCs w:val="32"/>
          <w:vertAlign w:val="baseline"/>
          <w:lang w:eastAsia="zh-CN"/>
        </w:rPr>
        <w:t>“</w:t>
      </w:r>
      <w:r>
        <w:rPr>
          <w:rFonts w:hint="eastAsia" w:ascii="仿宋_GB2312" w:hAnsi="仿宋_GB2312" w:eastAsia="仿宋_GB2312" w:cs="仿宋_GB2312"/>
          <w:b w:val="0"/>
          <w:bCs w:val="0"/>
          <w:color w:val="000000"/>
          <w:spacing w:val="0"/>
          <w:w w:val="100"/>
          <w:position w:val="0"/>
          <w:sz w:val="32"/>
          <w:szCs w:val="32"/>
          <w:vertAlign w:val="baseline"/>
          <w:lang w:val="en-US" w:eastAsia="zh-CN"/>
        </w:rPr>
        <w:t>鲁班传人</w:t>
      </w:r>
      <w:r>
        <w:rPr>
          <w:rFonts w:hint="eastAsia" w:ascii="仿宋_GB2312" w:hAnsi="仿宋_GB2312" w:eastAsia="仿宋_GB2312" w:cs="仿宋_GB2312"/>
          <w:b w:val="0"/>
          <w:bCs w:val="0"/>
          <w:color w:val="000000"/>
          <w:spacing w:val="0"/>
          <w:w w:val="100"/>
          <w:position w:val="0"/>
          <w:sz w:val="32"/>
          <w:szCs w:val="32"/>
          <w:vertAlign w:val="baseline"/>
          <w:lang w:eastAsia="zh-CN"/>
        </w:rPr>
        <w:t>”</w:t>
      </w:r>
      <w:r>
        <w:rPr>
          <w:rFonts w:hint="eastAsia" w:ascii="仿宋_GB2312" w:hAnsi="仿宋_GB2312" w:eastAsia="仿宋_GB2312" w:cs="仿宋_GB2312"/>
          <w:b w:val="0"/>
          <w:bCs w:val="0"/>
          <w:color w:val="000000"/>
          <w:spacing w:val="0"/>
          <w:w w:val="100"/>
          <w:position w:val="0"/>
          <w:sz w:val="32"/>
          <w:szCs w:val="32"/>
          <w:vertAlign w:val="baseline"/>
          <w:lang w:val="en-US" w:eastAsia="zh-CN"/>
        </w:rPr>
        <w:t>残疾人职业技能竞赛和</w:t>
      </w:r>
      <w:r>
        <w:rPr>
          <w:rFonts w:hint="eastAsia" w:ascii="仿宋_GB2312" w:hAnsi="仿宋_GB2312" w:eastAsia="仿宋_GB2312" w:cs="仿宋_GB2312"/>
          <w:b w:val="0"/>
          <w:bCs w:val="0"/>
          <w:color w:val="000000"/>
          <w:spacing w:val="0"/>
          <w:w w:val="100"/>
          <w:position w:val="0"/>
          <w:sz w:val="32"/>
          <w:szCs w:val="32"/>
          <w:vertAlign w:val="baseline"/>
        </w:rPr>
        <w:t>省“齐鲁残疾人工匠”职业技能竞赛，参加第七届全国残疾人职业技能大赛暨第四届全国残疾人展能节。</w:t>
      </w:r>
      <w:r>
        <w:rPr>
          <w:rFonts w:hint="eastAsia" w:ascii="楷体_GB2312" w:hAnsi="楷体_GB2312" w:eastAsia="楷体_GB2312" w:cs="楷体_GB2312"/>
          <w:b w:val="0"/>
          <w:bCs w:val="0"/>
          <w:color w:val="000000"/>
          <w:spacing w:val="0"/>
          <w:w w:val="100"/>
          <w:position w:val="0"/>
          <w:sz w:val="32"/>
          <w:szCs w:val="32"/>
          <w:lang w:val="en-US" w:eastAsia="zh-CN"/>
        </w:rPr>
        <w:t>（牵头单位：区残联；责任单位：区人社局、区总工会、区文旅局、区政府办公室〈区大数据中心〉）</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vertAlign w:val="baseline"/>
        </w:rPr>
        <w:t>4.加强残疾人就业服务。健全残疾人就业服务体系，建立残疾人就业辅导员制度，完善覆盖城乡的残疾人就业服务网络。对高校残疾人毕业生开展“一人一档”“一人一策”就业服务。深入开展“就业援助月”“农村残疾人就业帮扶”等专项服务活动，将符合条件的就业困难残疾人纳入就业援助范围。</w:t>
      </w:r>
      <w:r>
        <w:rPr>
          <w:rFonts w:hint="eastAsia" w:ascii="楷体_GB2312" w:hAnsi="楷体_GB2312" w:eastAsia="楷体_GB2312" w:cs="楷体_GB2312"/>
          <w:b w:val="0"/>
          <w:bCs w:val="0"/>
          <w:color w:val="000000"/>
          <w:spacing w:val="0"/>
          <w:w w:val="100"/>
          <w:position w:val="0"/>
          <w:sz w:val="32"/>
          <w:szCs w:val="32"/>
          <w:lang w:val="en-US" w:eastAsia="zh-CN"/>
        </w:rPr>
        <w:t>（牵头单位：区残联、区人社局；责任单位：区教体局、区农业农村局、区财政局）</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522" w:type="dxa"/>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firstLineChars="0"/>
              <w:jc w:val="center"/>
              <w:textAlignment w:val="auto"/>
              <w:rPr>
                <w:rFonts w:hint="eastAsia" w:ascii="黑体" w:hAnsi="黑体" w:eastAsia="黑体" w:cs="黑体"/>
                <w:b w:val="0"/>
                <w:bCs w:val="0"/>
                <w:color w:val="000000"/>
                <w:spacing w:val="0"/>
                <w:w w:val="100"/>
                <w:position w:val="0"/>
                <w:sz w:val="32"/>
                <w:szCs w:val="32"/>
                <w:lang w:val="en-US" w:eastAsia="zh-CN"/>
              </w:rPr>
            </w:pPr>
            <w:r>
              <w:rPr>
                <w:rFonts w:hint="eastAsia" w:ascii="黑体" w:hAnsi="黑体" w:eastAsia="黑体" w:cs="黑体"/>
                <w:b w:val="0"/>
                <w:bCs w:val="0"/>
                <w:color w:val="000000"/>
                <w:spacing w:val="0"/>
                <w:w w:val="100"/>
                <w:position w:val="0"/>
                <w:sz w:val="32"/>
                <w:szCs w:val="32"/>
                <w:lang w:val="en-US" w:eastAsia="zh-CN"/>
              </w:rPr>
              <w:t xml:space="preserve">专栏4  </w:t>
            </w:r>
            <w:r>
              <w:rPr>
                <w:rFonts w:hint="eastAsia" w:ascii="黑体" w:hAnsi="黑体" w:eastAsia="黑体" w:cs="黑体"/>
                <w:b w:val="0"/>
                <w:bCs w:val="0"/>
                <w:color w:val="000000"/>
                <w:spacing w:val="0"/>
                <w:w w:val="100"/>
                <w:position w:val="0"/>
                <w:sz w:val="32"/>
                <w:szCs w:val="32"/>
              </w:rPr>
              <w:t>残疾人就业服务项目</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vertAlign w:val="baseline"/>
              </w:rPr>
            </w:pPr>
            <w:r>
              <w:rPr>
                <w:rFonts w:hint="eastAsia" w:ascii="黑体" w:hAnsi="黑体" w:eastAsia="黑体" w:cs="黑体"/>
                <w:b w:val="0"/>
                <w:bCs w:val="0"/>
                <w:color w:val="000000"/>
                <w:spacing w:val="0"/>
                <w:w w:val="100"/>
                <w:position w:val="0"/>
                <w:sz w:val="28"/>
                <w:szCs w:val="28"/>
              </w:rPr>
              <w:t>党政机关、事业单位按比例安排残疾人就业项目</w:t>
            </w:r>
            <w:r>
              <w:rPr>
                <w:rFonts w:hint="eastAsia" w:ascii="楷体" w:hAnsi="楷体" w:eastAsia="楷体" w:cs="楷体"/>
                <w:b w:val="0"/>
                <w:bCs w:val="0"/>
                <w:color w:val="000000"/>
                <w:spacing w:val="0"/>
                <w:w w:val="100"/>
                <w:position w:val="0"/>
                <w:sz w:val="30"/>
                <w:szCs w:val="30"/>
              </w:rPr>
              <w:t xml:space="preserve"> </w:t>
            </w:r>
            <w:r>
              <w:rPr>
                <w:rFonts w:hint="eastAsia" w:ascii="楷体" w:hAnsi="楷体" w:eastAsia="楷体" w:cs="楷体"/>
                <w:b w:val="0"/>
                <w:bCs w:val="0"/>
                <w:color w:val="000000"/>
                <w:spacing w:val="0"/>
                <w:w w:val="100"/>
                <w:position w:val="0"/>
                <w:sz w:val="30"/>
                <w:szCs w:val="30"/>
                <w:vertAlign w:val="baseline"/>
              </w:rPr>
              <w:t xml:space="preserve"> </w:t>
            </w:r>
            <w:r>
              <w:rPr>
                <w:rFonts w:hint="eastAsia" w:ascii="楷体_GB2312" w:hAnsi="楷体_GB2312" w:eastAsia="楷体_GB2312" w:cs="楷体_GB2312"/>
                <w:b w:val="0"/>
                <w:bCs w:val="0"/>
                <w:color w:val="000000"/>
                <w:spacing w:val="0"/>
                <w:w w:val="100"/>
                <w:position w:val="0"/>
                <w:sz w:val="28"/>
                <w:szCs w:val="28"/>
                <w:vertAlign w:val="baseline"/>
                <w:lang w:val="en-US" w:eastAsia="zh-CN"/>
              </w:rPr>
              <w:t>编制50人（含50人）党政机关，</w:t>
            </w:r>
            <w:r>
              <w:rPr>
                <w:rFonts w:hint="eastAsia" w:ascii="楷体_GB2312" w:hAnsi="楷体_GB2312" w:eastAsia="楷体_GB2312" w:cs="楷体_GB2312"/>
                <w:b w:val="0"/>
                <w:bCs w:val="0"/>
                <w:color w:val="000000"/>
                <w:spacing w:val="0"/>
                <w:w w:val="100"/>
                <w:position w:val="0"/>
                <w:sz w:val="28"/>
                <w:szCs w:val="28"/>
                <w:vertAlign w:val="baseline"/>
              </w:rPr>
              <w:t>编制67人以上（含67人）事业单位（中小学、幼儿园除外），安排残疾人就业未达到规定比例的,2025年前至少安排1名残疾人，县级及以上残联机关干部队伍中要有15%以上（含15%）的残疾人。</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vertAlign w:val="baseline"/>
                <w:lang w:val="en-US" w:eastAsia="zh-CN"/>
              </w:rPr>
            </w:pPr>
            <w:r>
              <w:rPr>
                <w:rFonts w:hint="eastAsia" w:ascii="黑体" w:hAnsi="黑体" w:eastAsia="黑体" w:cs="黑体"/>
                <w:b w:val="0"/>
                <w:bCs w:val="0"/>
                <w:color w:val="000000"/>
                <w:spacing w:val="0"/>
                <w:w w:val="100"/>
                <w:position w:val="0"/>
                <w:sz w:val="28"/>
                <w:szCs w:val="28"/>
              </w:rPr>
              <w:t>残疾人职业培训和创业孵化基地建设项目</w:t>
            </w:r>
            <w:r>
              <w:rPr>
                <w:rFonts w:hint="eastAsia" w:ascii="宋体" w:hAnsi="宋体" w:eastAsia="宋体" w:cs="宋体"/>
                <w:b w:val="0"/>
                <w:bCs w:val="0"/>
                <w:color w:val="000000"/>
                <w:spacing w:val="0"/>
                <w:w w:val="100"/>
                <w:position w:val="0"/>
                <w:sz w:val="30"/>
                <w:szCs w:val="30"/>
              </w:rPr>
              <w:t xml:space="preserve"> </w:t>
            </w:r>
            <w:r>
              <w:rPr>
                <w:rFonts w:hint="eastAsia" w:ascii="楷体" w:hAnsi="楷体" w:eastAsia="楷体" w:cs="楷体"/>
                <w:b w:val="0"/>
                <w:bCs w:val="0"/>
                <w:color w:val="000000"/>
                <w:spacing w:val="0"/>
                <w:w w:val="100"/>
                <w:position w:val="0"/>
                <w:sz w:val="30"/>
                <w:szCs w:val="30"/>
                <w:vertAlign w:val="baseline"/>
              </w:rPr>
              <w:t xml:space="preserve"> </w:t>
            </w:r>
            <w:r>
              <w:rPr>
                <w:rFonts w:hint="eastAsia" w:ascii="楷体_GB2312" w:hAnsi="楷体_GB2312" w:eastAsia="楷体_GB2312" w:cs="楷体_GB2312"/>
                <w:b w:val="0"/>
                <w:bCs w:val="0"/>
                <w:color w:val="000000"/>
                <w:spacing w:val="0"/>
                <w:w w:val="100"/>
                <w:position w:val="0"/>
                <w:sz w:val="28"/>
                <w:szCs w:val="28"/>
                <w:vertAlign w:val="baseline"/>
                <w:lang w:val="en-US" w:eastAsia="zh-CN"/>
              </w:rPr>
              <w:t>依托企业、特殊教育学校、职业院校、社会培训机构，建立一批残疾人职业培训基地和创业孵化示范基地，为残疾人搭建开放式、全要素、可复制的就业创业综合服务平台，提供职业技能培训、实习见习服务。</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vertAlign w:val="baseline"/>
                <w:lang w:val="en-US" w:eastAsia="zh-CN"/>
              </w:rPr>
            </w:pPr>
            <w:r>
              <w:rPr>
                <w:rFonts w:hint="eastAsia" w:ascii="黑体" w:hAnsi="黑体" w:eastAsia="黑体" w:cs="黑体"/>
                <w:b w:val="0"/>
                <w:bCs w:val="0"/>
                <w:color w:val="000000"/>
                <w:spacing w:val="0"/>
                <w:w w:val="100"/>
                <w:position w:val="0"/>
                <w:sz w:val="28"/>
                <w:szCs w:val="28"/>
              </w:rPr>
              <w:t>盲人按摩提升项目</w:t>
            </w:r>
            <w:r>
              <w:rPr>
                <w:rFonts w:hint="eastAsia" w:ascii="宋体" w:hAnsi="宋体" w:eastAsia="宋体" w:cs="宋体"/>
                <w:b w:val="0"/>
                <w:bCs w:val="0"/>
                <w:color w:val="000000"/>
                <w:spacing w:val="0"/>
                <w:w w:val="100"/>
                <w:position w:val="0"/>
                <w:sz w:val="30"/>
                <w:szCs w:val="30"/>
              </w:rPr>
              <w:t xml:space="preserve"> </w:t>
            </w:r>
            <w:r>
              <w:rPr>
                <w:rFonts w:hint="eastAsia" w:ascii="楷体" w:hAnsi="楷体" w:eastAsia="楷体" w:cs="楷体"/>
                <w:b w:val="0"/>
                <w:bCs w:val="0"/>
                <w:color w:val="000000"/>
                <w:spacing w:val="0"/>
                <w:w w:val="100"/>
                <w:position w:val="0"/>
                <w:sz w:val="30"/>
                <w:szCs w:val="30"/>
                <w:vertAlign w:val="baseline"/>
              </w:rPr>
              <w:t xml:space="preserve"> </w:t>
            </w:r>
            <w:r>
              <w:rPr>
                <w:rFonts w:hint="eastAsia" w:ascii="楷体_GB2312" w:hAnsi="楷体_GB2312" w:eastAsia="楷体_GB2312" w:cs="楷体_GB2312"/>
                <w:b w:val="0"/>
                <w:bCs w:val="0"/>
                <w:color w:val="000000"/>
                <w:spacing w:val="0"/>
                <w:w w:val="100"/>
                <w:position w:val="0"/>
                <w:sz w:val="28"/>
                <w:szCs w:val="28"/>
                <w:vertAlign w:val="baseline"/>
                <w:lang w:val="en-US" w:eastAsia="zh-CN"/>
              </w:rPr>
              <w:t>鼓励扶持盲人医疗按摩人员在医院、疗养院、社区卫生服务中心（站）等医疗机构就业执业。完善盲人按摩业扶持政策，加大对盲人按摩机构和盲人按摩从业人员的扶持力度。打造“齐鲁手创”盲人按摩品牌，促进盲人保健按摩行业规范化、专业化、品牌化发展。</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vertAlign w:val="baseline"/>
                <w:lang w:val="en-US" w:eastAsia="zh-CN"/>
              </w:rPr>
            </w:pPr>
            <w:r>
              <w:rPr>
                <w:rFonts w:hint="eastAsia" w:ascii="黑体" w:hAnsi="黑体" w:eastAsia="黑体" w:cs="黑体"/>
                <w:b w:val="0"/>
                <w:bCs w:val="0"/>
                <w:color w:val="000000"/>
                <w:spacing w:val="0"/>
                <w:w w:val="100"/>
                <w:position w:val="0"/>
                <w:sz w:val="28"/>
                <w:szCs w:val="28"/>
              </w:rPr>
              <w:t>残疾人新就业形态扶持项目</w:t>
            </w:r>
            <w:r>
              <w:rPr>
                <w:rFonts w:hint="eastAsia" w:ascii="黑体" w:hAnsi="黑体" w:eastAsia="黑体" w:cs="黑体"/>
                <w:b w:val="0"/>
                <w:bCs w:val="0"/>
                <w:color w:val="000000"/>
                <w:spacing w:val="0"/>
                <w:w w:val="100"/>
                <w:position w:val="0"/>
                <w:sz w:val="30"/>
                <w:szCs w:val="30"/>
                <w:vertAlign w:val="baseline"/>
                <w:lang w:val="en-US" w:eastAsia="zh-CN"/>
              </w:rPr>
              <w:t xml:space="preserve">  </w:t>
            </w:r>
            <w:r>
              <w:rPr>
                <w:rFonts w:hint="eastAsia" w:ascii="楷体_GB2312" w:hAnsi="楷体_GB2312" w:eastAsia="楷体_GB2312" w:cs="楷体_GB2312"/>
                <w:b w:val="0"/>
                <w:bCs w:val="0"/>
                <w:color w:val="000000"/>
                <w:spacing w:val="0"/>
                <w:w w:val="100"/>
                <w:position w:val="0"/>
                <w:sz w:val="28"/>
                <w:szCs w:val="28"/>
                <w:vertAlign w:val="baseline"/>
                <w:lang w:val="en-US" w:eastAsia="zh-CN"/>
              </w:rPr>
              <w:t>鼓励互联网平台企业、中介服务机构等帮助残疾人开展网络零售、云客服、直播带货、物流快递、小店经济等新形态就业。</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vertAlign w:val="baseline"/>
                <w:lang w:val="en-US" w:eastAsia="zh-CN"/>
              </w:rPr>
            </w:pPr>
            <w:r>
              <w:rPr>
                <w:rFonts w:hint="eastAsia" w:ascii="黑体" w:hAnsi="黑体" w:eastAsia="黑体" w:cs="黑体"/>
                <w:b w:val="0"/>
                <w:bCs w:val="0"/>
                <w:color w:val="000000"/>
                <w:spacing w:val="0"/>
                <w:w w:val="100"/>
                <w:position w:val="0"/>
                <w:sz w:val="28"/>
                <w:szCs w:val="28"/>
              </w:rPr>
              <w:t>高校残疾人毕业生就业</w:t>
            </w:r>
            <w:r>
              <w:rPr>
                <w:rFonts w:hint="eastAsia" w:ascii="黑体" w:hAnsi="黑体" w:eastAsia="黑体" w:cs="黑体"/>
                <w:b w:val="0"/>
                <w:bCs w:val="0"/>
                <w:color w:val="000000"/>
                <w:spacing w:val="0"/>
                <w:w w:val="100"/>
                <w:position w:val="0"/>
                <w:sz w:val="30"/>
                <w:szCs w:val="30"/>
                <w:vertAlign w:val="baseline"/>
              </w:rPr>
              <w:t xml:space="preserve"> </w:t>
            </w:r>
            <w:r>
              <w:rPr>
                <w:rFonts w:hint="eastAsia" w:ascii="楷体" w:hAnsi="楷体" w:eastAsia="楷体" w:cs="楷体"/>
                <w:b w:val="0"/>
                <w:bCs w:val="0"/>
                <w:color w:val="000000"/>
                <w:spacing w:val="0"/>
                <w:w w:val="100"/>
                <w:position w:val="0"/>
                <w:sz w:val="30"/>
                <w:szCs w:val="30"/>
                <w:vertAlign w:val="baseline"/>
              </w:rPr>
              <w:t xml:space="preserve"> </w:t>
            </w:r>
            <w:r>
              <w:rPr>
                <w:rFonts w:hint="eastAsia" w:ascii="楷体_GB2312" w:hAnsi="楷体_GB2312" w:eastAsia="楷体_GB2312" w:cs="楷体_GB2312"/>
                <w:b w:val="0"/>
                <w:bCs w:val="0"/>
                <w:color w:val="000000"/>
                <w:spacing w:val="0"/>
                <w:w w:val="100"/>
                <w:position w:val="0"/>
                <w:sz w:val="28"/>
                <w:szCs w:val="28"/>
                <w:vertAlign w:val="baseline"/>
                <w:lang w:val="en-US" w:eastAsia="zh-CN"/>
              </w:rPr>
              <w:t>依托高校、就业服务机构、人力资源服务机构等为高校残疾人毕业生提供职业素质培训、就业心理疏导、专场招聘、实习见习等专项的“一人一策”就业服务。</w:t>
            </w:r>
          </w:p>
          <w:p>
            <w:pPr>
              <w:pStyle w:val="10"/>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楷体_GB2312" w:hAnsi="楷体_GB2312" w:eastAsia="楷体_GB2312" w:cs="楷体_GB2312"/>
                <w:b w:val="0"/>
                <w:bCs w:val="0"/>
                <w:color w:val="000000"/>
                <w:spacing w:val="0"/>
                <w:w w:val="100"/>
                <w:position w:val="0"/>
                <w:sz w:val="28"/>
                <w:szCs w:val="28"/>
                <w:vertAlign w:val="baseline"/>
                <w:lang w:val="en-US" w:eastAsia="zh-CN"/>
              </w:rPr>
            </w:pPr>
            <w:r>
              <w:rPr>
                <w:rFonts w:hint="eastAsia" w:ascii="黑体" w:hAnsi="黑体" w:eastAsia="黑体" w:cs="黑体"/>
                <w:b w:val="0"/>
                <w:bCs w:val="0"/>
                <w:color w:val="000000"/>
                <w:spacing w:val="0"/>
                <w:w w:val="100"/>
                <w:position w:val="0"/>
                <w:sz w:val="28"/>
                <w:szCs w:val="28"/>
              </w:rPr>
              <w:t>残疾人辅助性就业推进项目</w:t>
            </w:r>
            <w:r>
              <w:rPr>
                <w:rFonts w:hint="eastAsia" w:ascii="楷体" w:hAnsi="楷体" w:eastAsia="楷体" w:cs="楷体"/>
                <w:b w:val="0"/>
                <w:bCs w:val="0"/>
                <w:color w:val="000000"/>
                <w:spacing w:val="0"/>
                <w:w w:val="100"/>
                <w:position w:val="0"/>
                <w:sz w:val="30"/>
                <w:szCs w:val="30"/>
                <w:vertAlign w:val="baseline"/>
              </w:rPr>
              <w:t xml:space="preserve">  </w:t>
            </w:r>
            <w:r>
              <w:rPr>
                <w:rFonts w:hint="eastAsia" w:ascii="楷体_GB2312" w:hAnsi="楷体_GB2312" w:eastAsia="楷体_GB2312" w:cs="楷体_GB2312"/>
                <w:b w:val="0"/>
                <w:bCs w:val="0"/>
                <w:color w:val="000000"/>
                <w:spacing w:val="0"/>
                <w:w w:val="100"/>
                <w:position w:val="0"/>
                <w:sz w:val="28"/>
                <w:szCs w:val="28"/>
                <w:vertAlign w:val="baseline"/>
                <w:lang w:val="en-US" w:eastAsia="zh-CN"/>
              </w:rPr>
              <w:t>将残疾人辅助性就业服务纳入政府购买服务范围，鼓励和引导市场主体和社会力量提供辅助性就业服务，加强辅助性就业机构能力建设，有效提升辅助性就业水平和质量。</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560" w:firstLineChars="200"/>
              <w:jc w:val="both"/>
              <w:textAlignment w:val="auto"/>
              <w:outlineLvl w:val="9"/>
              <w:rPr>
                <w:rFonts w:hint="eastAsia" w:ascii="仿宋" w:hAnsi="仿宋" w:eastAsia="仿宋" w:cs="仿宋"/>
                <w:b w:val="0"/>
                <w:bCs w:val="0"/>
                <w:color w:val="000000"/>
                <w:spacing w:val="0"/>
                <w:w w:val="100"/>
                <w:position w:val="0"/>
                <w:sz w:val="32"/>
                <w:szCs w:val="32"/>
                <w:vertAlign w:val="baseline"/>
              </w:rPr>
            </w:pPr>
            <w:r>
              <w:rPr>
                <w:rFonts w:hint="eastAsia" w:ascii="黑体" w:hAnsi="黑体" w:eastAsia="黑体" w:cs="黑体"/>
                <w:b w:val="0"/>
                <w:bCs w:val="0"/>
                <w:color w:val="000000"/>
                <w:spacing w:val="0"/>
                <w:w w:val="100"/>
                <w:position w:val="0"/>
                <w:sz w:val="28"/>
                <w:szCs w:val="28"/>
              </w:rPr>
              <w:t>残疾人公益性岗位项目</w:t>
            </w:r>
            <w:r>
              <w:rPr>
                <w:rFonts w:hint="eastAsia" w:ascii="楷体" w:hAnsi="楷体" w:eastAsia="楷体" w:cs="楷体"/>
                <w:b w:val="0"/>
                <w:bCs w:val="0"/>
                <w:color w:val="000000"/>
                <w:spacing w:val="0"/>
                <w:w w:val="100"/>
                <w:position w:val="0"/>
                <w:sz w:val="30"/>
                <w:szCs w:val="30"/>
                <w:vertAlign w:val="baseline"/>
              </w:rPr>
              <w:t xml:space="preserve"> </w:t>
            </w:r>
            <w:r>
              <w:rPr>
                <w:rFonts w:hint="eastAsia" w:ascii="楷体" w:hAnsi="楷体" w:eastAsia="楷体" w:cs="楷体"/>
                <w:b w:val="0"/>
                <w:bCs w:val="0"/>
                <w:color w:val="000000"/>
                <w:spacing w:val="0"/>
                <w:w w:val="100"/>
                <w:position w:val="0"/>
                <w:sz w:val="30"/>
                <w:szCs w:val="30"/>
                <w:vertAlign w:val="baseline"/>
                <w:lang w:val="en-US" w:eastAsia="zh-CN"/>
              </w:rPr>
              <w:t xml:space="preserve"> </w:t>
            </w:r>
            <w:r>
              <w:rPr>
                <w:rFonts w:hint="eastAsia" w:ascii="楷体_GB2312" w:hAnsi="楷体_GB2312" w:eastAsia="楷体_GB2312" w:cs="楷体_GB2312"/>
                <w:b w:val="0"/>
                <w:bCs w:val="0"/>
                <w:color w:val="000000"/>
                <w:spacing w:val="0"/>
                <w:w w:val="100"/>
                <w:position w:val="0"/>
                <w:sz w:val="28"/>
                <w:szCs w:val="28"/>
                <w:vertAlign w:val="baseline"/>
                <w:lang w:val="en-US" w:eastAsia="zh-CN"/>
              </w:rPr>
              <w:t>政府设立的乡村保洁员、水管员、护路员、生态护林员、社会救助协理员、农家书屋管理员、社区服务人员等公益性岗位优先安排残疾人就业。</w:t>
            </w:r>
          </w:p>
        </w:tc>
      </w:tr>
    </w:tbl>
    <w:p>
      <w:pPr>
        <w:pStyle w:val="10"/>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楷体_GB2312" w:hAnsi="楷体_GB2312" w:eastAsia="楷体_GB2312" w:cs="楷体_GB2312"/>
          <w:b w:val="0"/>
          <w:bCs w:val="0"/>
          <w:color w:val="000000"/>
          <w:spacing w:val="0"/>
          <w:w w:val="100"/>
          <w:position w:val="0"/>
          <w:sz w:val="32"/>
          <w:szCs w:val="32"/>
          <w:lang w:eastAsia="zh-CN"/>
        </w:rPr>
        <w:t>（</w:t>
      </w:r>
      <w:r>
        <w:rPr>
          <w:rFonts w:hint="eastAsia" w:ascii="楷体_GB2312" w:hAnsi="楷体_GB2312" w:eastAsia="楷体_GB2312" w:cs="楷体_GB2312"/>
          <w:b w:val="0"/>
          <w:bCs w:val="0"/>
          <w:color w:val="000000"/>
          <w:spacing w:val="0"/>
          <w:w w:val="100"/>
          <w:position w:val="0"/>
          <w:sz w:val="32"/>
          <w:szCs w:val="32"/>
        </w:rPr>
        <w:t>四</w:t>
      </w:r>
      <w:r>
        <w:rPr>
          <w:rFonts w:hint="eastAsia" w:ascii="楷体_GB2312" w:hAnsi="楷体_GB2312" w:eastAsia="楷体_GB2312" w:cs="楷体_GB2312"/>
          <w:b w:val="0"/>
          <w:bCs w:val="0"/>
          <w:color w:val="000000"/>
          <w:spacing w:val="0"/>
          <w:w w:val="100"/>
          <w:position w:val="0"/>
          <w:sz w:val="32"/>
          <w:szCs w:val="32"/>
          <w:lang w:eastAsia="zh-CN"/>
        </w:rPr>
        <w:t>）</w:t>
      </w:r>
      <w:r>
        <w:rPr>
          <w:rFonts w:hint="eastAsia" w:ascii="楷体_GB2312" w:hAnsi="楷体_GB2312" w:eastAsia="楷体_GB2312" w:cs="楷体_GB2312"/>
          <w:b w:val="0"/>
          <w:bCs w:val="0"/>
          <w:color w:val="000000"/>
          <w:spacing w:val="0"/>
          <w:w w:val="100"/>
          <w:position w:val="0"/>
          <w:sz w:val="32"/>
          <w:szCs w:val="32"/>
        </w:rPr>
        <w:t>提升残疾人素质，促进残疾人全面发展。</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vertAlign w:val="baseline"/>
        </w:rPr>
        <w:t>1.完善残疾人教育体系。加快发展医教、康教结合的残疾儿童学前教育。建立完善以随班就读为主体、特殊教育学校为骨干、送教上门和远程教育为补充的义务教育办学体系,提高义务教育质量。大力发展以职业教育为重点的残疾人</w:t>
      </w:r>
      <w:r>
        <w:rPr>
          <w:rFonts w:hint="eastAsia" w:ascii="仿宋_GB2312" w:hAnsi="仿宋_GB2312" w:eastAsia="仿宋_GB2312" w:cs="仿宋_GB2312"/>
          <w:b w:val="0"/>
          <w:bCs w:val="0"/>
          <w:color w:val="000000"/>
          <w:spacing w:val="0"/>
          <w:w w:val="100"/>
          <w:position w:val="0"/>
          <w:sz w:val="32"/>
          <w:szCs w:val="32"/>
          <w:vertAlign w:val="baseline"/>
          <w:lang w:eastAsia="zh-CN"/>
        </w:rPr>
        <w:t>高</w:t>
      </w:r>
      <w:r>
        <w:rPr>
          <w:rFonts w:hint="eastAsia" w:ascii="仿宋_GB2312" w:hAnsi="仿宋_GB2312" w:eastAsia="仿宋_GB2312" w:cs="仿宋_GB2312"/>
          <w:b w:val="0"/>
          <w:bCs w:val="0"/>
          <w:color w:val="000000"/>
          <w:spacing w:val="0"/>
          <w:w w:val="100"/>
          <w:position w:val="0"/>
          <w:sz w:val="32"/>
          <w:szCs w:val="32"/>
          <w:vertAlign w:val="baseline"/>
        </w:rPr>
        <w:t>中阶段教育。继续实施残疾人大学生扶残助学和励志助学项目，为残疾学生参加国家教育考试和部分职业考试提供便利。</w:t>
      </w:r>
      <w:r>
        <w:rPr>
          <w:rFonts w:hint="eastAsia" w:ascii="楷体_GB2312" w:hAnsi="楷体_GB2312" w:eastAsia="楷体_GB2312" w:cs="楷体_GB2312"/>
          <w:b w:val="0"/>
          <w:bCs w:val="0"/>
          <w:color w:val="000000"/>
          <w:spacing w:val="0"/>
          <w:w w:val="100"/>
          <w:position w:val="0"/>
          <w:sz w:val="32"/>
          <w:szCs w:val="32"/>
          <w:lang w:val="en-US" w:eastAsia="zh-CN"/>
        </w:rPr>
        <w:t>（牵头单位：区教体局；责任单位：区残联、区发改局、区卫健局、区人社局）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2.完善特殊教育保障机制。</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健全残疾人教育专家委员会运行机制。</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扶持符合条件的儿童福利机构、残疾儿童定点康复机构单独设立特殊教育幼儿园（学前部、班）、特殊教育</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学校（特殊教育部、班）</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。落实特殊教育生均公用经费政策和残疾人学生资助政策，全面落实残疾儿童少年15年免费教育。建立完善送教（医、康）上门服务机制，提高上门服务质量。</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提高特殊教育</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学校办学条件，建立学校、家庭、社会协同育人机制，推进特殊教育督导和质量监测评估。全面推进融合教育，健全普通学校随班就读支持保障体系，支持</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CN" w:bidi="zh-TW"/>
        </w:rPr>
        <w:t>高</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校开展残疾人高等融合教育。加强特殊教育师资队伍建设</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CN" w:bidi="zh-TW"/>
        </w:rPr>
        <w:t>，</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配齐配足特殊教师</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CN" w:bidi="zh-TW"/>
        </w:rPr>
        <w:t>。</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加快推广国家通用手语和国家通用盲文。</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（牵头单位：区教体局；责任单位：区残联、区卫健局、区人社局、区民政局）</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0" w:hRule="atLeast"/>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val="0"/>
                <w:color w:val="000000"/>
                <w:spacing w:val="0"/>
                <w:w w:val="100"/>
                <w:position w:val="0"/>
                <w:sz w:val="30"/>
                <w:szCs w:val="30"/>
                <w:vertAlign w:val="baseline"/>
                <w:lang w:val="en-US" w:eastAsia="zh-CN"/>
              </w:rPr>
            </w:pPr>
            <w:r>
              <w:rPr>
                <w:rFonts w:hint="eastAsia" w:ascii="黑体" w:hAnsi="黑体" w:eastAsia="黑体" w:cs="黑体"/>
                <w:b w:val="0"/>
                <w:bCs w:val="0"/>
                <w:color w:val="000000"/>
                <w:spacing w:val="0"/>
                <w:w w:val="100"/>
                <w:kern w:val="2"/>
                <w:position w:val="0"/>
                <w:sz w:val="32"/>
                <w:szCs w:val="32"/>
                <w:u w:val="none"/>
                <w:shd w:val="clear" w:color="auto" w:fill="auto"/>
                <w:lang w:val="en-US" w:eastAsia="zh-CN" w:bidi="zh-TW"/>
              </w:rPr>
              <w:t xml:space="preserve">专栏5  </w:t>
            </w:r>
            <w:r>
              <w:rPr>
                <w:rFonts w:hint="eastAsia" w:ascii="黑体" w:hAnsi="黑体" w:eastAsia="黑体" w:cs="黑体"/>
                <w:b w:val="0"/>
                <w:bCs w:val="0"/>
                <w:color w:val="000000"/>
                <w:spacing w:val="0"/>
                <w:w w:val="100"/>
                <w:kern w:val="2"/>
                <w:position w:val="0"/>
                <w:sz w:val="32"/>
                <w:szCs w:val="32"/>
                <w:u w:val="none"/>
                <w:shd w:val="clear" w:color="auto" w:fill="auto"/>
                <w:lang w:val="zh-TW" w:eastAsia="zh-TW" w:bidi="zh-TW"/>
              </w:rPr>
              <w:t>残疾人教育项目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pPr>
            <w:r>
              <w:rPr>
                <w:rFonts w:hint="eastAsia" w:ascii="黑体" w:hAnsi="黑体" w:eastAsia="黑体" w:cs="黑体"/>
                <w:b w:val="0"/>
                <w:bCs w:val="0"/>
                <w:color w:val="000000"/>
                <w:spacing w:val="0"/>
                <w:w w:val="100"/>
                <w:kern w:val="2"/>
                <w:position w:val="0"/>
                <w:sz w:val="28"/>
                <w:szCs w:val="28"/>
                <w:u w:val="none"/>
                <w:shd w:val="clear" w:color="auto" w:fill="auto"/>
                <w:lang w:val="en-US" w:eastAsia="zh-CN" w:bidi="zh-TW"/>
              </w:rPr>
              <w:t>残疾儿童学前康复教育发展项目</w:t>
            </w:r>
            <w:r>
              <w:rPr>
                <w:rFonts w:hint="eastAsia" w:ascii="黑体" w:hAnsi="黑体" w:eastAsia="黑体" w:cs="黑体"/>
                <w:b w:val="0"/>
                <w:bCs w:val="0"/>
                <w:color w:val="000000"/>
                <w:spacing w:val="0"/>
                <w:w w:val="100"/>
                <w:position w:val="0"/>
                <w:sz w:val="30"/>
                <w:szCs w:val="30"/>
                <w:vertAlign w:val="baseline"/>
                <w:lang w:val="en-US" w:eastAsia="zh-CN"/>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鼓励普通幼儿园招收具有接受普通教育能力的残疾幼儿，提倡特殊教育学校开设学前教育部。加强公办残疾儿童学前康复教育机构建设。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val="0"/>
                <w:bCs w:val="0"/>
                <w:color w:val="000000"/>
                <w:spacing w:val="0"/>
                <w:w w:val="100"/>
                <w:position w:val="0"/>
                <w:sz w:val="30"/>
                <w:szCs w:val="30"/>
                <w:vertAlign w:val="baseline"/>
              </w:rPr>
            </w:pPr>
            <w:r>
              <w:rPr>
                <w:rFonts w:hint="eastAsia" w:ascii="黑体" w:hAnsi="黑体" w:eastAsia="黑体" w:cs="黑体"/>
                <w:b w:val="0"/>
                <w:bCs w:val="0"/>
                <w:color w:val="000000"/>
                <w:spacing w:val="0"/>
                <w:w w:val="100"/>
                <w:kern w:val="2"/>
                <w:position w:val="0"/>
                <w:sz w:val="28"/>
                <w:szCs w:val="28"/>
                <w:u w:val="none"/>
                <w:shd w:val="clear" w:color="auto" w:fill="auto"/>
                <w:lang w:val="en-US" w:eastAsia="zh-CN" w:bidi="zh-TW"/>
              </w:rPr>
              <w:t>残疾儿童少年义务教育巩固提高项目</w:t>
            </w:r>
            <w:r>
              <w:rPr>
                <w:rFonts w:hint="eastAsia" w:ascii="黑体" w:hAnsi="黑体" w:eastAsia="黑体" w:cs="黑体"/>
                <w:b w:val="0"/>
                <w:bCs w:val="0"/>
                <w:color w:val="000000"/>
                <w:spacing w:val="0"/>
                <w:w w:val="100"/>
                <w:position w:val="0"/>
                <w:sz w:val="30"/>
                <w:szCs w:val="30"/>
                <w:vertAlign w:val="baseline"/>
                <w:lang w:val="en-US" w:eastAsia="zh-CN"/>
              </w:rPr>
              <w:t xml:space="preserve"> </w:t>
            </w:r>
            <w:r>
              <w:rPr>
                <w:rFonts w:hint="eastAsia" w:ascii="楷体" w:hAnsi="楷体" w:eastAsia="楷体" w:cs="楷体"/>
                <w:b w:val="0"/>
                <w:bCs w:val="0"/>
                <w:color w:val="000000"/>
                <w:spacing w:val="0"/>
                <w:w w:val="100"/>
                <w:position w:val="0"/>
                <w:sz w:val="30"/>
                <w:szCs w:val="30"/>
                <w:vertAlign w:val="baseline"/>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开展适龄残疾儿童少年教育需求评估，实现“一人一案”科学教育安置。提高特殊教育学办学水平。完善随班就读支持保障体系，提高随班就读质量。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pPr>
            <w:r>
              <w:rPr>
                <w:rFonts w:hint="eastAsia" w:ascii="黑体" w:hAnsi="黑体" w:eastAsia="黑体" w:cs="黑体"/>
                <w:b w:val="0"/>
                <w:bCs w:val="0"/>
                <w:color w:val="000000"/>
                <w:spacing w:val="0"/>
                <w:w w:val="100"/>
                <w:kern w:val="2"/>
                <w:position w:val="0"/>
                <w:sz w:val="28"/>
                <w:szCs w:val="28"/>
                <w:u w:val="none"/>
                <w:shd w:val="clear" w:color="auto" w:fill="auto"/>
                <w:lang w:val="en-US" w:eastAsia="zh-CN" w:bidi="zh-TW"/>
              </w:rPr>
              <w:t>残疾人职业教育提升项目</w:t>
            </w:r>
            <w:r>
              <w:rPr>
                <w:rFonts w:hint="eastAsia" w:ascii="楷体" w:hAnsi="楷体" w:eastAsia="楷体" w:cs="楷体"/>
                <w:b w:val="0"/>
                <w:bCs w:val="0"/>
                <w:color w:val="000000"/>
                <w:spacing w:val="0"/>
                <w:w w:val="100"/>
                <w:position w:val="0"/>
                <w:sz w:val="30"/>
                <w:szCs w:val="30"/>
              </w:rPr>
              <w:t xml:space="preserve"> </w:t>
            </w:r>
            <w:r>
              <w:rPr>
                <w:rFonts w:hint="eastAsia" w:ascii="楷体" w:hAnsi="楷体" w:eastAsia="楷体" w:cs="楷体"/>
                <w:b w:val="0"/>
                <w:bCs w:val="0"/>
                <w:color w:val="000000"/>
                <w:spacing w:val="0"/>
                <w:w w:val="100"/>
                <w:position w:val="0"/>
                <w:sz w:val="30"/>
                <w:szCs w:val="30"/>
                <w:vertAlign w:val="baseline"/>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支持普通职业院校招收残疾人学生。支持特殊教育学校与职业院校联合开展职业教育。鼓励特殊教育学校开设中等职业部，加强实训基地建设，为残疾人学生实习实训提供保障和便利。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val="0"/>
                <w:bCs w:val="0"/>
                <w:color w:val="000000"/>
                <w:spacing w:val="0"/>
                <w:w w:val="100"/>
                <w:position w:val="0"/>
                <w:sz w:val="30"/>
                <w:szCs w:val="30"/>
                <w:vertAlign w:val="baseline"/>
              </w:rPr>
            </w:pPr>
            <w:r>
              <w:rPr>
                <w:rFonts w:hint="eastAsia" w:ascii="黑体" w:hAnsi="黑体" w:eastAsia="黑体" w:cs="黑体"/>
                <w:b w:val="0"/>
                <w:bCs w:val="0"/>
                <w:color w:val="000000"/>
                <w:spacing w:val="0"/>
                <w:w w:val="100"/>
                <w:kern w:val="2"/>
                <w:position w:val="0"/>
                <w:sz w:val="28"/>
                <w:szCs w:val="28"/>
                <w:u w:val="none"/>
                <w:shd w:val="clear" w:color="auto" w:fill="auto"/>
                <w:lang w:val="en-US" w:eastAsia="zh-CN" w:bidi="zh-TW"/>
              </w:rPr>
              <w:t>融合教育推广项目</w:t>
            </w:r>
            <w:r>
              <w:rPr>
                <w:rFonts w:hint="eastAsia" w:ascii="宋体" w:hAnsi="宋体" w:eastAsia="宋体" w:cs="宋体"/>
                <w:b w:val="0"/>
                <w:bCs w:val="0"/>
                <w:color w:val="000000"/>
                <w:spacing w:val="0"/>
                <w:w w:val="100"/>
                <w:position w:val="0"/>
                <w:sz w:val="30"/>
                <w:szCs w:val="30"/>
                <w:vertAlign w:val="baseline"/>
                <w:lang w:val="en-US" w:eastAsia="zh-CN"/>
              </w:rPr>
              <w:t xml:space="preserve"> </w:t>
            </w:r>
            <w:r>
              <w:rPr>
                <w:rFonts w:hint="eastAsia" w:ascii="楷体" w:hAnsi="楷体" w:eastAsia="楷体" w:cs="楷体"/>
                <w:b w:val="0"/>
                <w:bCs w:val="0"/>
                <w:color w:val="000000"/>
                <w:spacing w:val="0"/>
                <w:w w:val="100"/>
                <w:position w:val="0"/>
                <w:sz w:val="30"/>
                <w:szCs w:val="30"/>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鼓励普通学校招收残疾儿童少年，同等条件下，在招生片区内就近就便优先安排残疾儿童少年入学。按照国家规定设置随班就读资源教室，配备必要的教育教学、康复训练设施设备和专业人员。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楷体" w:hAnsi="楷体" w:eastAsia="楷体" w:cs="楷体"/>
                <w:b w:val="0"/>
                <w:bCs w:val="0"/>
                <w:color w:val="000000"/>
                <w:spacing w:val="0"/>
                <w:w w:val="100"/>
                <w:position w:val="0"/>
                <w:sz w:val="30"/>
                <w:szCs w:val="30"/>
                <w:vertAlign w:val="baseline"/>
              </w:rPr>
            </w:pPr>
            <w:r>
              <w:rPr>
                <w:rFonts w:hint="eastAsia" w:ascii="黑体" w:hAnsi="黑体" w:eastAsia="黑体" w:cs="黑体"/>
                <w:b w:val="0"/>
                <w:bCs w:val="0"/>
                <w:color w:val="000000"/>
                <w:spacing w:val="0"/>
                <w:w w:val="100"/>
                <w:kern w:val="2"/>
                <w:position w:val="0"/>
                <w:sz w:val="28"/>
                <w:szCs w:val="28"/>
                <w:u w:val="none"/>
                <w:shd w:val="clear" w:color="auto" w:fill="auto"/>
                <w:lang w:val="en-US" w:eastAsia="zh-CN" w:bidi="zh-TW"/>
              </w:rPr>
              <w:t>手语盲文推广项目</w:t>
            </w:r>
            <w:r>
              <w:rPr>
                <w:rFonts w:hint="eastAsia" w:ascii="黑体" w:hAnsi="黑体" w:eastAsia="黑体" w:cs="黑体"/>
                <w:b w:val="0"/>
                <w:bCs w:val="0"/>
                <w:color w:val="000000"/>
                <w:spacing w:val="0"/>
                <w:w w:val="100"/>
                <w:kern w:val="2"/>
                <w:position w:val="0"/>
                <w:sz w:val="28"/>
                <w:szCs w:val="28"/>
                <w:u w:val="none"/>
                <w:shd w:val="clear" w:color="auto" w:fill="auto"/>
                <w:lang w:val="zh-TW" w:eastAsia="zh-TW" w:bidi="zh-TW"/>
              </w:rPr>
              <w:t xml:space="preserve"> </w:t>
            </w:r>
            <w:r>
              <w:rPr>
                <w:rFonts w:hint="eastAsia" w:ascii="楷体" w:hAnsi="楷体" w:eastAsia="楷体" w:cs="楷体"/>
                <w:b w:val="0"/>
                <w:bCs w:val="0"/>
                <w:color w:val="000000"/>
                <w:spacing w:val="0"/>
                <w:w w:val="100"/>
                <w:position w:val="0"/>
                <w:sz w:val="30"/>
                <w:szCs w:val="30"/>
                <w:lang w:val="en-US" w:eastAsia="zh-CN"/>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开展面向公共服务行业的通用手语推广。</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3.提升残疾人公共文化服务水平。加强残疾人特殊艺术人才和特殊艺术师资培养，鼓励残疾人参与文学艺术创作和非物质文化遗产传承。扶持残疾人文化创意产业发展,打造残疾人文化艺术品牌，组织参加全省残疾人艺术汇演。加强重度残疾人文化服务，开展“五个一”文化进家庭、进社区活动。</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（牵头单位：区残联；责任单位：区委宣传部、区委网信办、区教体局、区文旅局）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4.倡树新时代文明社会残疾人观。深入开展党史学习教育，统筹开展“学听跟”专项活动，大力弘扬残疾人自强不息的时代精神、民族精神和社会各界扶残助残的传统美德、人道主义精神，厚植新时代残疾人事业发展的思想文化基础。将扶残助残纳入公民道德建设、文明创建工程和新时代文明实践中心建设，将残疾人工作纳入文明城区等创建活动内容。加强残疾人事业全媒体传播能力建设，开展好全国助残日、国际残疾人日等主题宣传活动，积极参与残疾人事业好新闻评选。</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支持残疾人题材图书、影视作品以及公益广告、网络视听节目制作播出。组织参加</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枣庄市自强模范暨助残先进集体和先进个人评选表彰。</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（牵头单位：区委宣传部、区残联；责任单位：区委网信办、区人社局、区文旅局、卫健局）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5.完善残疾人体育管理服务体系。建立完善优秀残疾人运动员、教练员选拔培养和激励机制，加强残疾人体育人才培养。实施“残疾人康复健身体育行动”，将残疾人康复健身体育纳入全民健身实施计划，大力培育残疾人体育健身点，推动残疾人康复健身体育身边化服务。</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（牵头单位：区教体局、区残联；责任单位：区卫健局）</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jc w:val="center"/>
        </w:trPr>
        <w:tc>
          <w:tcPr>
            <w:tcW w:w="8522" w:type="dxa"/>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黑体" w:hAnsi="黑体" w:eastAsia="黑体" w:cs="黑体"/>
                <w:b w:val="0"/>
                <w:bCs w:val="0"/>
                <w:color w:val="000000"/>
                <w:spacing w:val="0"/>
                <w:w w:val="100"/>
                <w:position w:val="0"/>
                <w:sz w:val="32"/>
                <w:szCs w:val="32"/>
                <w:lang w:val="en-US" w:eastAsia="zh-CN"/>
              </w:rPr>
            </w:pPr>
            <w:r>
              <w:rPr>
                <w:rFonts w:hint="eastAsia" w:ascii="黑体" w:hAnsi="黑体" w:eastAsia="黑体" w:cs="黑体"/>
                <w:b w:val="0"/>
                <w:bCs w:val="0"/>
                <w:color w:val="000000"/>
                <w:spacing w:val="0"/>
                <w:w w:val="100"/>
                <w:position w:val="0"/>
                <w:sz w:val="32"/>
                <w:szCs w:val="32"/>
                <w:lang w:val="en-US" w:eastAsia="zh-CN"/>
              </w:rPr>
              <w:t xml:space="preserve">专栏6  </w:t>
            </w:r>
            <w:r>
              <w:rPr>
                <w:rFonts w:hint="eastAsia" w:ascii="黑体" w:hAnsi="黑体" w:eastAsia="黑体" w:cs="黑体"/>
                <w:b w:val="0"/>
                <w:bCs w:val="0"/>
                <w:color w:val="000000"/>
                <w:spacing w:val="0"/>
                <w:w w:val="100"/>
                <w:position w:val="0"/>
                <w:sz w:val="32"/>
                <w:szCs w:val="32"/>
              </w:rPr>
              <w:t>残疾人文化体育服务项目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pPr>
            <w:r>
              <w:rPr>
                <w:rFonts w:hint="eastAsia" w:ascii="黑体" w:hAnsi="黑体" w:eastAsia="黑体" w:cs="黑体"/>
                <w:b w:val="0"/>
                <w:bCs w:val="0"/>
                <w:color w:val="000000"/>
                <w:spacing w:val="0"/>
                <w:w w:val="100"/>
                <w:kern w:val="2"/>
                <w:position w:val="0"/>
                <w:sz w:val="28"/>
                <w:szCs w:val="28"/>
                <w:u w:val="none"/>
                <w:shd w:val="clear" w:color="auto" w:fill="auto"/>
                <w:lang w:val="zh-TW" w:eastAsia="zh-TW" w:bidi="zh-TW"/>
              </w:rPr>
              <w:t xml:space="preserve">“五个一”文化进家庭、进社区 </w:t>
            </w:r>
            <w:r>
              <w:rPr>
                <w:rFonts w:hint="eastAsia" w:ascii="仿宋" w:hAnsi="仿宋" w:eastAsia="仿宋" w:cs="仿宋"/>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为重度残疾人家庭展“五个一”（读一本书、看一场电影、游一次园、参观一次展览、参加一次文化活动）文化服务。依托新时代文明实践中心和基层文化设施，增添必要的文化设备，建设一批残健融合文化服务中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pPr>
            <w:r>
              <w:rPr>
                <w:rFonts w:hint="eastAsia" w:ascii="黑体" w:hAnsi="黑体" w:eastAsia="黑体" w:cs="黑体"/>
                <w:b w:val="0"/>
                <w:bCs w:val="0"/>
                <w:color w:val="000000"/>
                <w:spacing w:val="0"/>
                <w:w w:val="100"/>
                <w:kern w:val="2"/>
                <w:position w:val="0"/>
                <w:sz w:val="28"/>
                <w:szCs w:val="28"/>
                <w:u w:val="none"/>
                <w:shd w:val="clear" w:color="auto" w:fill="auto"/>
                <w:lang w:val="zh-TW" w:eastAsia="zh-TW" w:bidi="zh-TW"/>
              </w:rPr>
              <w:t xml:space="preserve">残疾人文创产业发展项目 </w:t>
            </w:r>
            <w:r>
              <w:rPr>
                <w:rFonts w:hint="eastAsia" w:ascii="楷体" w:hAnsi="楷体" w:eastAsia="楷体" w:cs="楷体"/>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支持残疾人参与非物质文化遗产传承、振兴传统工艺等项目。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楷体" w:hAnsi="楷体" w:eastAsia="楷体" w:cs="楷体"/>
                <w:b w:val="0"/>
                <w:bCs w:val="0"/>
                <w:color w:val="000000"/>
                <w:spacing w:val="0"/>
                <w:w w:val="100"/>
                <w:position w:val="0"/>
                <w:sz w:val="28"/>
                <w:szCs w:val="28"/>
                <w:vertAlign w:val="baseline"/>
              </w:rPr>
            </w:pPr>
            <w:r>
              <w:rPr>
                <w:rFonts w:hint="eastAsia" w:ascii="黑体" w:hAnsi="黑体" w:eastAsia="黑体" w:cs="黑体"/>
                <w:b w:val="0"/>
                <w:bCs w:val="0"/>
                <w:color w:val="000000"/>
                <w:spacing w:val="0"/>
                <w:w w:val="100"/>
                <w:kern w:val="2"/>
                <w:position w:val="0"/>
                <w:sz w:val="28"/>
                <w:szCs w:val="28"/>
                <w:u w:val="none"/>
                <w:shd w:val="clear" w:color="auto" w:fill="auto"/>
                <w:lang w:val="zh-TW" w:eastAsia="zh-TW" w:bidi="zh-TW"/>
              </w:rPr>
              <w:t xml:space="preserve">残疾人康复健身体育行动 </w:t>
            </w:r>
            <w:r>
              <w:rPr>
                <w:rFonts w:hint="eastAsia" w:ascii="楷体" w:hAnsi="楷体" w:eastAsia="楷体" w:cs="楷体"/>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开展残疾人康复健身体育项目，创建残疾人健身点，培养残疾人社会体育指导员，推进康复健身体育进家庭服务活动。</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spacing w:val="0"/>
          <w:w w:val="100"/>
          <w:position w:val="0"/>
          <w:sz w:val="32"/>
          <w:szCs w:val="32"/>
          <w:vertAlign w:val="baseline"/>
        </w:rPr>
      </w:pPr>
      <w:r>
        <w:rPr>
          <w:rFonts w:hint="eastAsia" w:ascii="楷体_GB2312" w:hAnsi="楷体_GB2312" w:eastAsia="楷体_GB2312" w:cs="楷体_GB2312"/>
          <w:b w:val="0"/>
          <w:bCs w:val="0"/>
          <w:color w:val="000000"/>
          <w:spacing w:val="0"/>
          <w:w w:val="100"/>
          <w:position w:val="0"/>
          <w:sz w:val="32"/>
          <w:szCs w:val="32"/>
          <w:vertAlign w:val="baseline"/>
        </w:rPr>
        <w:t>（五）全面推进无障碍环境建设，让残疾人平等参与社会生活。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1.提升无障碍环境建设管理水平。落实《山东省无障碍环境建设办法》，在新型城镇化、农村人居环境整治、城镇老旧小区改造及社区建设中统筹推进无障碍建设和改造。提高无障碍设施规划建设管理水平，城区道路、公共交通、公共服务设施和残疾人集中就业单位等加快开展无障碍建设和改造。提高残疾人家庭无障碍改造水平，与辅助器具适配做好有效衔接。继续开展无障碍区</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CN" w:bidi="zh-TW"/>
        </w:rPr>
        <w:t>、</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镇（街）、</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村</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CN" w:bidi="zh-TW"/>
        </w:rPr>
        <w:t>（</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社区</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CN" w:bidi="zh-TW"/>
        </w:rPr>
        <w:t>）</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达标验收工作。加强无障碍监督，保障残疾人等通行安全和使用便利。</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（牵头单位：区发改局、区农业农村局、区住建局；责任单位：区残联、区民政局、区交运局、区自然资源局、区财政局）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2.加快发展信息无障碍。将信息无障碍作为数字政府、智慧城区、数字乡村建设的重要组成部分，纳入文明城</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市</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创建指标。推动各级政府门户网站、办事系统实现无障碍服务。加快推广普惠便利的电信服务，完善网络及信息基础设施建设，推动5G在无障碍领域的应用。扩大信息无障碍终端产品供给，鼓励支持无障碍技术和产品的开发、应用、推广。</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（牵头单位：区残联；责任单位：区委网信办、区工信局、区政府办公室〈区大数据中心〉、区市场监管局、区财政局）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3.提升无障碍服务水平。区级电视台逐步设立通用手语电视栏目。区</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级</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设立的公共图书馆开设盲人阅览室，提供盲文读物、有声读物。为听力、言语和视力残疾人参加职业技能培训、就业创业等活动提供无障碍支持服务。鼓励食品药品添加无障碍识别标识。为残疾人携带辅助器具、导盲犬等乘坐公共交通工具、出入公共场所提供便利。完善残疾人驾驶汽车政策。</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（牵头单位：区残联；责任单位：区文旅局、区交运局、区公安分局、区市场监管局、区财政局、区融媒体中心）</w:t>
      </w:r>
    </w:p>
    <w:p>
      <w:pPr>
        <w:rPr>
          <w:rFonts w:hint="eastAsia"/>
          <w:lang w:val="en-US" w:eastAsia="zh-CN"/>
        </w:rPr>
      </w:pP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jc w:val="center"/>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b w:val="0"/>
                <w:bCs w:val="0"/>
                <w:color w:val="000000"/>
                <w:spacing w:val="0"/>
                <w:w w:val="100"/>
                <w:position w:val="0"/>
                <w:sz w:val="32"/>
                <w:szCs w:val="32"/>
                <w:lang w:val="en-US" w:eastAsia="zh-CN"/>
              </w:rPr>
            </w:pPr>
            <w:r>
              <w:rPr>
                <w:rFonts w:hint="eastAsia" w:ascii="黑体" w:hAnsi="黑体" w:eastAsia="黑体" w:cs="黑体"/>
                <w:b w:val="0"/>
                <w:bCs w:val="0"/>
                <w:color w:val="000000"/>
                <w:spacing w:val="0"/>
                <w:w w:val="100"/>
                <w:position w:val="0"/>
                <w:sz w:val="32"/>
                <w:szCs w:val="32"/>
                <w:lang w:val="en-US" w:eastAsia="zh-CN"/>
              </w:rPr>
              <w:t xml:space="preserve">专栏7  </w:t>
            </w:r>
            <w:r>
              <w:rPr>
                <w:rFonts w:hint="eastAsia" w:ascii="黑体" w:hAnsi="黑体" w:eastAsia="黑体" w:cs="黑体"/>
                <w:b w:val="0"/>
                <w:bCs w:val="0"/>
                <w:color w:val="000000"/>
                <w:spacing w:val="0"/>
                <w:w w:val="100"/>
                <w:position w:val="0"/>
                <w:sz w:val="32"/>
                <w:szCs w:val="32"/>
              </w:rPr>
              <w:t>无障碍项目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b w:val="0"/>
                <w:bCs w:val="0"/>
                <w:color w:val="000000"/>
                <w:spacing w:val="0"/>
                <w:w w:val="100"/>
                <w:position w:val="0"/>
                <w:sz w:val="28"/>
                <w:szCs w:val="28"/>
                <w:vertAlign w:val="baseline"/>
              </w:rPr>
            </w:pPr>
            <w:r>
              <w:rPr>
                <w:rFonts w:hint="eastAsia" w:ascii="黑体" w:hAnsi="黑体" w:eastAsia="黑体" w:cs="黑体"/>
                <w:b w:val="0"/>
                <w:bCs w:val="0"/>
                <w:color w:val="000000"/>
                <w:spacing w:val="0"/>
                <w:w w:val="100"/>
                <w:kern w:val="2"/>
                <w:position w:val="0"/>
                <w:sz w:val="28"/>
                <w:szCs w:val="28"/>
                <w:u w:val="none"/>
                <w:shd w:val="clear" w:color="auto" w:fill="auto"/>
                <w:lang w:val="zh-TW" w:eastAsia="zh-TW" w:bidi="zh-TW"/>
              </w:rPr>
              <w:t>道路交通无障碍</w:t>
            </w:r>
            <w:r>
              <w:rPr>
                <w:rFonts w:hint="eastAsia" w:ascii="楷体" w:hAnsi="楷体" w:eastAsia="楷体" w:cs="楷体"/>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城区主要道路、主要商业区和大型居住区的人行天桥和人行地下通道配备无障碍设施，人行道交通信号设施逐步完善无障碍服务功能。公共场所、公共停车场和大型居住区的停车场设置并标明无障碍停车位。公共交通工具配备无障碍设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pPr>
            <w:r>
              <w:rPr>
                <w:rFonts w:hint="eastAsia" w:ascii="黑体" w:hAnsi="黑体" w:eastAsia="黑体" w:cs="黑体"/>
                <w:b w:val="0"/>
                <w:bCs w:val="0"/>
                <w:color w:val="000000"/>
                <w:spacing w:val="0"/>
                <w:w w:val="100"/>
                <w:kern w:val="2"/>
                <w:position w:val="0"/>
                <w:sz w:val="28"/>
                <w:szCs w:val="28"/>
                <w:u w:val="none"/>
                <w:shd w:val="clear" w:color="auto" w:fill="auto"/>
                <w:lang w:val="zh-TW" w:eastAsia="zh-TW" w:bidi="zh-TW"/>
              </w:rPr>
              <w:t>公共服务设施无障碍</w:t>
            </w:r>
            <w:r>
              <w:rPr>
                <w:rFonts w:hint="eastAsia" w:ascii="宋体" w:hAnsi="宋体" w:eastAsia="宋体" w:cs="宋体"/>
                <w:b w:val="0"/>
                <w:bCs w:val="0"/>
                <w:color w:val="000000"/>
                <w:spacing w:val="0"/>
                <w:w w:val="100"/>
                <w:position w:val="0"/>
                <w:sz w:val="28"/>
                <w:szCs w:val="28"/>
                <w:vertAlign w:val="baseline"/>
              </w:rPr>
              <w:t xml:space="preserve"> </w:t>
            </w:r>
            <w:r>
              <w:rPr>
                <w:rFonts w:hint="eastAsia" w:ascii="仿宋" w:hAnsi="仿宋" w:eastAsia="仿宋" w:cs="仿宋"/>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医疗、教育、文化、体育、交通、金融、邮政、商业、旅游、餐饮等公共服务设施和特殊教育、康复、托养、社会福利等残疾人服务设施、残疾人集中就业单位加快推动无障碍改造。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pPr>
            <w:r>
              <w:rPr>
                <w:rFonts w:hint="eastAsia" w:ascii="黑体" w:hAnsi="黑体" w:eastAsia="黑体" w:cs="黑体"/>
                <w:b w:val="0"/>
                <w:bCs w:val="0"/>
                <w:color w:val="000000"/>
                <w:spacing w:val="0"/>
                <w:w w:val="100"/>
                <w:kern w:val="2"/>
                <w:position w:val="0"/>
                <w:sz w:val="28"/>
                <w:szCs w:val="28"/>
                <w:u w:val="none"/>
                <w:shd w:val="clear" w:color="auto" w:fill="auto"/>
                <w:lang w:val="zh-TW" w:eastAsia="zh-TW" w:bidi="zh-TW"/>
              </w:rPr>
              <w:t xml:space="preserve">盲人文化服务 </w:t>
            </w:r>
            <w:r>
              <w:rPr>
                <w:rFonts w:hint="eastAsia" w:ascii="黑体" w:hAnsi="黑体" w:eastAsia="黑体" w:cs="黑体"/>
                <w:b w:val="0"/>
                <w:bCs w:val="0"/>
                <w:color w:val="000000"/>
                <w:spacing w:val="0"/>
                <w:w w:val="100"/>
                <w:kern w:val="2"/>
                <w:position w:val="0"/>
                <w:sz w:val="28"/>
                <w:szCs w:val="28"/>
                <w:u w:val="none"/>
                <w:shd w:val="clear" w:color="auto" w:fill="auto"/>
                <w:lang w:val="en-US" w:eastAsia="zh-CN" w:bidi="zh-TW"/>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为盲人提供盲文读物、有声读物、大字读物、数字阅读、无障碍观影等产品和服务。推动公共图书馆盲人阅览室（区）建设。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pPr>
            <w:r>
              <w:rPr>
                <w:rFonts w:hint="eastAsia" w:ascii="黑体" w:hAnsi="黑体" w:eastAsia="黑体" w:cs="黑体"/>
                <w:b w:val="0"/>
                <w:bCs w:val="0"/>
                <w:color w:val="000000"/>
                <w:spacing w:val="0"/>
                <w:w w:val="100"/>
                <w:kern w:val="2"/>
                <w:position w:val="0"/>
                <w:sz w:val="28"/>
                <w:szCs w:val="28"/>
                <w:u w:val="none"/>
                <w:shd w:val="clear" w:color="auto" w:fill="auto"/>
                <w:lang w:val="zh-TW" w:eastAsia="zh-TW" w:bidi="zh-TW"/>
              </w:rPr>
              <w:t>聋人文化服务</w:t>
            </w:r>
            <w:r>
              <w:rPr>
                <w:rFonts w:hint="eastAsia" w:ascii="黑体" w:hAnsi="黑体" w:eastAsia="黑体" w:cs="黑体"/>
                <w:b w:val="0"/>
                <w:bCs w:val="0"/>
                <w:color w:val="000000"/>
                <w:spacing w:val="0"/>
                <w:w w:val="100"/>
                <w:position w:val="0"/>
                <w:sz w:val="28"/>
                <w:szCs w:val="28"/>
                <w:vertAlign w:val="baseline"/>
              </w:rPr>
              <w:t xml:space="preserve"> </w:t>
            </w:r>
            <w:r>
              <w:rPr>
                <w:rFonts w:hint="eastAsia" w:ascii="黑体" w:hAnsi="黑体" w:eastAsia="黑体" w:cs="黑体"/>
                <w:b w:val="0"/>
                <w:bCs w:val="0"/>
                <w:color w:val="000000"/>
                <w:spacing w:val="0"/>
                <w:w w:val="100"/>
                <w:position w:val="0"/>
                <w:sz w:val="28"/>
                <w:szCs w:val="28"/>
                <w:vertAlign w:val="baseline"/>
                <w:lang w:val="en-US" w:eastAsia="zh-CN"/>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鼓励影视作品、网络视频加配字幕，区级电视台开播通用手语和实时字幕栏目。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pPr>
            <w:r>
              <w:rPr>
                <w:rFonts w:hint="eastAsia" w:ascii="黑体" w:hAnsi="黑体" w:eastAsia="黑体" w:cs="黑体"/>
                <w:b w:val="0"/>
                <w:bCs w:val="0"/>
                <w:color w:val="000000"/>
                <w:spacing w:val="0"/>
                <w:w w:val="100"/>
                <w:kern w:val="2"/>
                <w:position w:val="0"/>
                <w:sz w:val="28"/>
                <w:szCs w:val="28"/>
                <w:u w:val="none"/>
                <w:shd w:val="clear" w:color="auto" w:fill="auto"/>
                <w:lang w:val="zh-TW" w:eastAsia="zh-TW" w:bidi="zh-TW"/>
              </w:rPr>
              <w:t xml:space="preserve">互联网和移动互联网信息无障碍 </w:t>
            </w:r>
            <w:r>
              <w:rPr>
                <w:rFonts w:hint="eastAsia" w:ascii="楷体" w:hAnsi="楷体" w:eastAsia="楷体" w:cs="楷体"/>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加快政府门户网站、政府服务平台和网上办事大厅信息无障碍。推动新闻资讯、社交通讯、生活购物、医疗健康、金融服务、学习教育、旅游出行等互联网网站、移动互联网应用（APP）的无障碍改造。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pPr>
            <w:r>
              <w:rPr>
                <w:rFonts w:hint="eastAsia" w:ascii="黑体" w:hAnsi="黑体" w:eastAsia="黑体" w:cs="黑体"/>
                <w:b w:val="0"/>
                <w:bCs w:val="0"/>
                <w:color w:val="000000"/>
                <w:spacing w:val="0"/>
                <w:w w:val="100"/>
                <w:kern w:val="2"/>
                <w:position w:val="0"/>
                <w:sz w:val="28"/>
                <w:szCs w:val="28"/>
                <w:u w:val="none"/>
                <w:shd w:val="clear" w:color="auto" w:fill="auto"/>
                <w:lang w:val="zh-TW" w:eastAsia="zh-TW" w:bidi="zh-TW"/>
              </w:rPr>
              <w:t xml:space="preserve">自助服务终端信息无障碍 </w:t>
            </w:r>
            <w:r>
              <w:rPr>
                <w:rFonts w:hint="eastAsia" w:ascii="仿宋" w:hAnsi="仿宋" w:eastAsia="仿宋" w:cs="仿宋"/>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推进医院自助就医设备、自动售卖设备、银行自动柜员机、机场自助值机设备等自助公共服务设备的无障碍改造。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pPr>
            <w:r>
              <w:rPr>
                <w:rFonts w:hint="eastAsia" w:ascii="黑体" w:hAnsi="黑体" w:eastAsia="黑体" w:cs="黑体"/>
                <w:b w:val="0"/>
                <w:bCs w:val="0"/>
                <w:color w:val="000000"/>
                <w:spacing w:val="0"/>
                <w:w w:val="100"/>
                <w:kern w:val="2"/>
                <w:position w:val="0"/>
                <w:sz w:val="28"/>
                <w:szCs w:val="28"/>
                <w:u w:val="none"/>
                <w:shd w:val="clear" w:color="auto" w:fill="auto"/>
                <w:lang w:val="zh-TW" w:eastAsia="zh-TW" w:bidi="zh-TW"/>
              </w:rPr>
              <w:t xml:space="preserve">食品药品说明信息无障碍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利用图像识别、二维码等技术加快食品药品信息识别无障碍。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pPr>
            <w:r>
              <w:rPr>
                <w:rFonts w:hint="eastAsia" w:ascii="黑体" w:hAnsi="黑体" w:eastAsia="黑体" w:cs="黑体"/>
                <w:b w:val="0"/>
                <w:bCs w:val="0"/>
                <w:color w:val="000000"/>
                <w:spacing w:val="0"/>
                <w:w w:val="100"/>
                <w:kern w:val="2"/>
                <w:position w:val="0"/>
                <w:sz w:val="28"/>
                <w:szCs w:val="28"/>
                <w:u w:val="none"/>
                <w:shd w:val="clear" w:color="auto" w:fill="auto"/>
                <w:lang w:val="zh-TW" w:eastAsia="zh-TW" w:bidi="zh-TW"/>
              </w:rPr>
              <w:t xml:space="preserve">应急服务信息无障碍 </w:t>
            </w:r>
            <w:r>
              <w:rPr>
                <w:rFonts w:hint="eastAsia" w:ascii="楷体" w:hAnsi="楷体" w:eastAsia="楷体" w:cs="楷体"/>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把国家通用手语、通用盲文作为应急语言文字服务内容，政府新闻发布会和电视、网络发布突发公共事件信息时加配字幕和手语，医院、疏散避难场所和集中隔离场所等设置语音、字幕等信息提示装置。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b w:val="0"/>
                <w:bCs w:val="0"/>
                <w:color w:val="000000"/>
                <w:spacing w:val="0"/>
                <w:w w:val="100"/>
                <w:position w:val="0"/>
                <w:sz w:val="28"/>
                <w:szCs w:val="28"/>
                <w:vertAlign w:val="baseline"/>
              </w:rPr>
            </w:pPr>
            <w:r>
              <w:rPr>
                <w:rFonts w:hint="eastAsia" w:ascii="黑体" w:hAnsi="黑体" w:eastAsia="黑体" w:cs="黑体"/>
                <w:b w:val="0"/>
                <w:bCs w:val="0"/>
                <w:color w:val="000000"/>
                <w:spacing w:val="0"/>
                <w:w w:val="100"/>
                <w:kern w:val="2"/>
                <w:position w:val="0"/>
                <w:sz w:val="28"/>
                <w:szCs w:val="28"/>
                <w:u w:val="none"/>
                <w:shd w:val="clear" w:color="auto" w:fill="auto"/>
                <w:lang w:val="zh-TW" w:eastAsia="zh-TW" w:bidi="zh-TW"/>
              </w:rPr>
              <w:t xml:space="preserve">政务服务无障碍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政府新闻发布会配备同步速录字幕、通用手语翻译，鼓励政务服务大厅和公共服务场所为残疾人提供字幕、手语、语音等服务。</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spacing w:val="0"/>
          <w:w w:val="100"/>
          <w:position w:val="0"/>
          <w:sz w:val="32"/>
          <w:szCs w:val="32"/>
          <w:vertAlign w:val="baseline"/>
        </w:rPr>
      </w:pPr>
      <w:r>
        <w:rPr>
          <w:rFonts w:hint="eastAsia" w:ascii="楷体_GB2312" w:hAnsi="楷体_GB2312" w:eastAsia="楷体_GB2312" w:cs="楷体_GB2312"/>
          <w:b w:val="0"/>
          <w:bCs w:val="0"/>
          <w:color w:val="000000"/>
          <w:spacing w:val="0"/>
          <w:w w:val="100"/>
          <w:position w:val="0"/>
          <w:sz w:val="32"/>
          <w:szCs w:val="32"/>
          <w:vertAlign w:val="baseline"/>
        </w:rPr>
        <w:t>（六）加强残疾人法治建设，保障残疾人平等权利。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1.强化残疾人事业法治保障。落实宪法、民法典等法律法规关于保障残疾人权益的要求，落实《山东省残疾预防和残疾人康复条例》《山东省残疾人就业办法》。配合各级人大、政协开展残疾人保障法等法律法规执法检查、视察和调研，推动残疾人保障法贯彻实施。加强残疾人法治宣传工作，运用互联网和新媒体加大普法宣传力度。推动完善残疾人工作相关的立法、重大行政决策程序，广泛征询残疾人、残疾人组织和社会各方面意见。</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（牵头单位：区司法局、区残联；责任单位：区民政局、区委宣传部、区委网信办、区卫健局、区人社局、区财政局）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2.依法维护残疾人合法权益。将残疾人作为公共法律服务的重点对象，通过司法救助、法律援助等服务，切实保障残疾人平等充分参与诉讼活动。完善残疾人法律援助工作协调机制，依法扩大残疾人法律援助覆盖面，培养助残公益律师队伍，为残疾人提供及时有效的法律援助服务。开展“法律惠民生•助力残疾人”活动，不断提升残疾人法律援助质量。发挥政务服务热线平台作用，做好残疾人重点群体信访工作，坚决打击侵犯残疾人合法权益的违法犯罪行为。不断拓宽残疾人和残疾人组织民主参与、民主协商渠道，有效保障残疾人的知情权、参与权、表达权、监督权，支持更多残疾人、残疾人亲友和残疾人工作者进入各级人大、政协并提供履职便利。在具有正常履行职责身体条件的前提下，合理确定残疾人取得职业资格和公务员、事业单位人员等入职的体检条件，在晋职、晋级、职称评定、社会保险、生活福利等方面给予平等待遇，创造更加包容、公平的社会环境。</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（牵头单位：区司法局、区公安分局；责任单位：区残联、区信访局、区委组织部、区人社局、区教体局、区卫健局、区财政局）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spacing w:val="0"/>
          <w:w w:val="100"/>
          <w:position w:val="0"/>
          <w:sz w:val="32"/>
          <w:szCs w:val="32"/>
          <w:vertAlign w:val="baseline"/>
        </w:rPr>
      </w:pPr>
      <w:r>
        <w:rPr>
          <w:rFonts w:hint="eastAsia" w:ascii="楷体_GB2312" w:hAnsi="楷体_GB2312" w:eastAsia="楷体_GB2312" w:cs="楷体_GB2312"/>
          <w:b w:val="0"/>
          <w:bCs w:val="0"/>
          <w:color w:val="000000"/>
          <w:spacing w:val="0"/>
          <w:w w:val="100"/>
          <w:position w:val="0"/>
          <w:sz w:val="32"/>
          <w:szCs w:val="32"/>
          <w:vertAlign w:val="baseline"/>
        </w:rPr>
        <w:t>（七）深化残联组织改革建设，夯实残疾人事业基层基础。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1.加强各级残联组织建设。发挥好桥梁和纽带作用，着力增强残联组织的政治性、先进性、群众性，努力建设让党和政府放心、让残疾人满意的群团组织。认真履行“代表、服务、管理"职能，为残疾人解难，为党和政府分忧，把残疾人群众紧紧凝聚在党的周围，听党话、跟党走。深化各级残联组织改革和服务创新，强化区</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CN" w:bidi="zh-TW"/>
        </w:rPr>
        <w:t>、</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镇</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CN" w:bidi="zh-TW"/>
        </w:rPr>
        <w:t>（</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街</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CN" w:bidi="zh-TW"/>
        </w:rPr>
        <w:t>）</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残联建设，村（社区）残疾人协会实现全覆盖。配备镇</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CN" w:bidi="zh-TW"/>
        </w:rPr>
        <w:t>（</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街</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CN" w:bidi="zh-TW"/>
        </w:rPr>
        <w:t>）</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残联专职委员（专职干事）、村（社区）残协专职委员。加强和改进专门协会工作，发挥“代表、服务、维权、监督”职能。</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（牵头单位：区委组织部、区残联；责任单位：区民政局）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2、加强残疾人基础设施和服务机构建设。</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推进</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区残疾人综合康复中心建设，强</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化</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残疾人综合服务平台职能，完善全区残疾人服务体系。继续支持残疾人康复、托养等服务设施建设，推进区、镇</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CN" w:bidi="zh-TW"/>
        </w:rPr>
        <w:t>（</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街</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CN" w:bidi="zh-TW"/>
        </w:rPr>
        <w:t>）</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残疾人就业服务机构规范化建设，强化公益属性，推进全区残疾人就业创业服务基地建设。促进城乡区域协调发展，引导城镇残疾人服务资源向乡村延伸。加强残疾人服务机构能力建设，开展资质登记评估，</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探索</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建立可持续发展的管理运行机制。</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（牵头单位：区残联；责任单位：区发改局、区财政局、区人社局、区民政局、区卫健局、区乡村振兴局）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3.抓好基层残疾人人才队伍建设。加强基层残联干部的培养、使用和交流力度，多种方式壮大残疾人工作力量，培养忠诚、干净、担当，知残疾人、懂残疾人、爱残疾人、心系残疾人的高素质残联干部队伍。重视残疾人干部培养选拔与人才储备。广大残疾人工作者自觉践行新时代好干部标准,加强思想政治修养，恪守“人道、廉洁</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CN" w:bidi="zh-TW"/>
        </w:rPr>
        <w:t>”</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职业道德，提高履行职责、整合资源、服务残疾人的能力素质，全心全意为残疾人服务。</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（牵头单位：区委组织部、区残联；责任单位：区人社局、区教体局、区卫健局）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楷体_GB2312" w:hAnsi="楷体_GB2312" w:eastAsia="楷体_GB2312" w:cs="楷体_GB2312"/>
          <w:b w:val="0"/>
          <w:bCs w:val="0"/>
          <w:color w:val="000000"/>
          <w:spacing w:val="0"/>
          <w:w w:val="100"/>
          <w:position w:val="0"/>
          <w:sz w:val="32"/>
          <w:szCs w:val="32"/>
        </w:rPr>
        <w:t>（八）创新服务方式方法，助推残疾人事业高质量发展。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1.加强对残疾人公共服务的扶持管理。加强残疾人基本公共服务标准化建设，规范提升残疾人公共服务质量和水平。在场地、设备、人才、技术等方面扶持各类残疾人服务机构发展，优先扶持公益性、普惠性残疾人服务机构，支持残疾人服务机构连锁化、品牌化运营。加强各类残疾人服务机构规范化建设和行业管理，强化质量控制和绩效管理，支持残疾人和残疾人亲属参与服务评价。开展残疾人服务需求评估和服务资源调查，为残疾人提供供需对路的产品和服务。严格规范残疾评定和残疾人证核发管理，全面</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配合</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推行残疾人证电子证照应用和加载残疾人证的社会保障卡。配合推动残疾人证、用人单位按比例安排残疾人就业审核“跨省通办”。</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（牵头单位：区残联；责任单位：区发改局、区卫健局、区人社局、区公安分局、区市场监管局）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2.拓展残疾人社会化工作方式。加快社会动员能力建设，更加注重运用社会化方式推动工作，引导社会各方面力量参与支持残疾人事业发展。发展壮大志愿者队伍，推动服务项目化运作和制度化管理。培育残疾人志愿服务组织和残疾人互助组织，搭建志愿助残服务平台，筹备成立区级助残志愿者协会。大力发展残疾人慈善事业，落实残疾人事业金融、税收等支持政策，吸引更多社会力量和民间资本参与兴办残疾人服务机构和设施，满足残疾人多元化、多层次需求。</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（牵头单位：区残联；责任单位：区委宣传部、区民政局、区人社局、团区委、区妇联、区总工会、区税务局）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3.深化残疾人事业信息化建设。推动人工智能、云计算、5G等新技术在残疾人服务中的应用。将各类助残服务事项接入区政务服务平台，实现线上、线下业务协同服务，为企业和群众办事“一次办好”“跨省通办”“全程网办”提供支撑。完善残疾人口基础数据，改进残疾人服务需求和服务供给调查统计，加强残疾人数据深度分析、趋势研究和安全保护，健全数据辅助决策机制，提升风险防范能力，实现残疾人工作治理能力现代化。推动科技助残工作，建立完善信息化服务机制，适应社会化、市场化的服务模式，提升基层人员利用新技术为残疾人服务的能力。</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（牵头单位：区残联、区政府办公室〈区大数据中心〉；责任单位：区委网信办、区民政局、区科技局、区卫健局）</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b w:val="0"/>
                <w:bCs w:val="0"/>
                <w:color w:val="000000"/>
                <w:spacing w:val="0"/>
                <w:w w:val="100"/>
                <w:position w:val="0"/>
                <w:sz w:val="28"/>
                <w:szCs w:val="28"/>
                <w:vertAlign w:val="baseline"/>
                <w:lang w:val="en-US" w:eastAsia="zh-CN"/>
              </w:rPr>
            </w:pPr>
            <w:r>
              <w:rPr>
                <w:rFonts w:hint="eastAsia" w:ascii="黑体" w:hAnsi="黑体" w:eastAsia="黑体" w:cs="黑体"/>
                <w:b w:val="0"/>
                <w:bCs w:val="0"/>
                <w:color w:val="000000"/>
                <w:spacing w:val="0"/>
                <w:w w:val="100"/>
                <w:kern w:val="2"/>
                <w:position w:val="0"/>
                <w:sz w:val="32"/>
                <w:szCs w:val="32"/>
                <w:u w:val="none"/>
                <w:shd w:val="clear" w:color="auto" w:fill="auto"/>
                <w:lang w:val="en-US" w:eastAsia="zh-CN" w:bidi="zh-TW"/>
              </w:rPr>
              <w:t xml:space="preserve">专栏8  </w:t>
            </w:r>
            <w:r>
              <w:rPr>
                <w:rFonts w:hint="eastAsia" w:ascii="黑体" w:hAnsi="黑体" w:eastAsia="黑体" w:cs="黑体"/>
                <w:b w:val="0"/>
                <w:bCs w:val="0"/>
                <w:color w:val="000000"/>
                <w:spacing w:val="0"/>
                <w:w w:val="100"/>
                <w:kern w:val="2"/>
                <w:position w:val="0"/>
                <w:sz w:val="32"/>
                <w:szCs w:val="32"/>
                <w:u w:val="none"/>
                <w:shd w:val="clear" w:color="auto" w:fill="auto"/>
                <w:lang w:val="zh-TW" w:eastAsia="zh-TW" w:bidi="zh-TW"/>
              </w:rPr>
              <w:t>基础设施、人才队伍项目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pPr>
            <w:r>
              <w:rPr>
                <w:rFonts w:hint="eastAsia" w:ascii="黑体" w:hAnsi="黑体" w:eastAsia="黑体" w:cs="黑体"/>
                <w:b w:val="0"/>
                <w:bCs w:val="0"/>
                <w:color w:val="000000"/>
                <w:spacing w:val="0"/>
                <w:w w:val="100"/>
                <w:kern w:val="2"/>
                <w:position w:val="0"/>
                <w:sz w:val="28"/>
                <w:szCs w:val="28"/>
                <w:u w:val="none"/>
                <w:shd w:val="clear" w:color="auto" w:fill="auto"/>
                <w:lang w:val="zh-TW" w:eastAsia="zh-TW" w:bidi="zh-TW"/>
              </w:rPr>
              <w:t>残疾人服务设施建设项目</w:t>
            </w:r>
            <w:r>
              <w:rPr>
                <w:rFonts w:hint="eastAsia" w:ascii="楷体" w:hAnsi="楷体" w:eastAsia="楷体" w:cs="楷体"/>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继续支持残疾人康复、托养等服务设施建设，配备专业设备和器材。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楷体" w:hAnsi="楷体" w:eastAsia="楷体" w:cs="楷体"/>
                <w:b w:val="0"/>
                <w:bCs w:val="0"/>
                <w:color w:val="000000"/>
                <w:spacing w:val="0"/>
                <w:w w:val="100"/>
                <w:position w:val="0"/>
                <w:sz w:val="28"/>
                <w:szCs w:val="28"/>
                <w:vertAlign w:val="baseline"/>
              </w:rPr>
            </w:pPr>
            <w:r>
              <w:rPr>
                <w:rFonts w:hint="eastAsia" w:ascii="黑体" w:hAnsi="黑体" w:eastAsia="黑体" w:cs="黑体"/>
                <w:b w:val="0"/>
                <w:bCs w:val="0"/>
                <w:color w:val="000000"/>
                <w:spacing w:val="0"/>
                <w:w w:val="100"/>
                <w:kern w:val="2"/>
                <w:position w:val="0"/>
                <w:sz w:val="28"/>
                <w:szCs w:val="28"/>
                <w:u w:val="none"/>
                <w:shd w:val="clear" w:color="auto" w:fill="auto"/>
                <w:lang w:val="zh-TW" w:eastAsia="zh-TW" w:bidi="zh-TW"/>
              </w:rPr>
              <w:t>特殊教育师资人才培养项目</w:t>
            </w:r>
            <w:r>
              <w:rPr>
                <w:rFonts w:hint="eastAsia" w:ascii="宋体" w:hAnsi="宋体" w:eastAsia="宋体" w:cs="宋体"/>
                <w:b w:val="0"/>
                <w:bCs w:val="0"/>
                <w:color w:val="000000"/>
                <w:spacing w:val="0"/>
                <w:w w:val="100"/>
                <w:position w:val="0"/>
                <w:sz w:val="28"/>
                <w:szCs w:val="28"/>
              </w:rPr>
              <w:t xml:space="preserve"> </w:t>
            </w:r>
            <w:r>
              <w:rPr>
                <w:rFonts w:hint="eastAsia" w:ascii="楷体" w:hAnsi="楷体" w:eastAsia="楷体" w:cs="楷体"/>
                <w:b w:val="0"/>
                <w:bCs w:val="0"/>
                <w:color w:val="000000"/>
                <w:spacing w:val="0"/>
                <w:w w:val="100"/>
                <w:position w:val="0"/>
                <w:sz w:val="28"/>
                <w:szCs w:val="28"/>
                <w:vertAlign w:val="baseline"/>
              </w:rPr>
              <w:t xml:space="preserve"> </w:t>
            </w:r>
            <w:r>
              <w:rPr>
                <w:rFonts w:hint="eastAsia" w:ascii="楷体_GB2312" w:hAnsi="楷体_GB2312" w:eastAsia="楷体_GB2312" w:cs="楷体_GB2312"/>
                <w:b w:val="0"/>
                <w:bCs w:val="0"/>
                <w:color w:val="000000"/>
                <w:spacing w:val="0"/>
                <w:w w:val="100"/>
                <w:kern w:val="2"/>
                <w:position w:val="0"/>
                <w:sz w:val="28"/>
                <w:szCs w:val="28"/>
                <w:u w:val="none"/>
                <w:shd w:val="clear" w:color="auto" w:fill="auto"/>
                <w:vertAlign w:val="baseline"/>
                <w:lang w:val="en-US" w:eastAsia="zh-CN" w:bidi="zh-TW"/>
              </w:rPr>
              <w:t>实施特殊教育学校校长、特殊教育骨干教师和融合教育骨干教师培训项目。支持残疾人高校毕业生从事特殊教育。</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32"/>
          <w:szCs w:val="32"/>
          <w:vertAlign w:val="baseline"/>
        </w:rPr>
        <w:t>（一）加强党的领导和组织管理。</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进一步落实党委领导、政府负责的领导工作机制，各级党委、</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政府定期听取残疾人工作</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汇报，研究部署残疾人事业发展。</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区政府残疾人工作</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委员会要充分发挥组织、协调、指导、督促职能，统筹协调有关促进残疾人事业发展的规章、规划、政策的制定和实施,对本规划和政府重点助残实事落实情况进行督查并通报。各有关部门要将本规划的主要任务指标纳入部门规划和年度工作目标，统一部署、统筹安排、同步实施，并制定配套实施方案，明确专人负责，每年为残疾人办实事、解难事。</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（牵头单位：区政府残工委；责任单位：区政府有关部门）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32"/>
          <w:szCs w:val="32"/>
        </w:rPr>
        <w:t>（二）加强规划督导和监测评估。</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各级政府要将残疾人事业纳入国民经济和社会发展总体规划、相关专项规划、年度计划，将扶残助残重点项目纳入为民</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生</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实事工程。要依据本规划制定当地残疾人事业发展“十四五”规划。</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区</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政府残疾人工作委员会及相关部门要加强规划实施动态监测和跟踪问效，及时发现和解决执行中的问题，在“十四五”中期和期末对规划实施情况进行中期评估和总结评估。开展第三方评估和社会满意度调查，及时公开有关信息，接受社会监督。区政府残疾人工作委员会要在“十四五”期末对规划实施情况进行</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中期</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评估</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和</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总结</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评估。开展第三方评估和社会满意度调查，及时公开有关信息，接受社会监督。区</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政府残疾人工作委员会</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要在“十四五”期末对规划实施情况进行评估总结，</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按照国家和省</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CN" w:bidi="zh-TW"/>
        </w:rPr>
        <w:t>、</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en-US" w:eastAsia="zh-CN" w:bidi="zh-TW"/>
        </w:rPr>
        <w:t>市</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有关规定对先进典型予以表彰。</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（牵头单位：区政府残工委；责任单位：区政府有关部门）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32"/>
          <w:szCs w:val="32"/>
        </w:rPr>
        <w:t>（三）强化政策支持和经费保障。</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vertAlign w:val="baseline"/>
          <w:lang w:val="zh-TW" w:eastAsia="zh-TW" w:bidi="zh-TW"/>
        </w:rPr>
        <w:t>各级政府要将残疾人事业经费纳入本级财政预算，建立稳定的经费保障机制，持续加大对残疾人民生保障和残疾人事业的政策扶持、资金投入力度。积极引导社会力量投入，形成多渠道、多元化的资金投入格局。落实残疾人就业保障金征收有关政策。加强对残疾人工作任务和残疾人事业经费使用的监督管理，构建全方位、全过程、全覆盖的预算绩效管理体系，开展审计和绩效评价，提高资金使用效益和管理水平。</w:t>
      </w:r>
      <w:r>
        <w:rPr>
          <w:rFonts w:hint="eastAsia" w:ascii="楷体_GB2312" w:hAnsi="楷体_GB2312" w:eastAsia="楷体_GB2312" w:cs="楷体_GB2312"/>
          <w:b w:val="0"/>
          <w:bCs w:val="0"/>
          <w:color w:val="000000"/>
          <w:spacing w:val="0"/>
          <w:w w:val="100"/>
          <w:kern w:val="2"/>
          <w:position w:val="0"/>
          <w:sz w:val="32"/>
          <w:szCs w:val="32"/>
          <w:u w:val="none"/>
          <w:shd w:val="clear" w:color="auto" w:fill="auto"/>
          <w:lang w:val="en-US" w:eastAsia="zh-CN" w:bidi="zh-TW"/>
        </w:rPr>
        <w:t>（牵头单位：区财政局、区残联；责任单位：区审计局、区民政局、区教体局、区税务局）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val="0"/>
          <w:bCs w:val="0"/>
          <w:color w:val="000000"/>
          <w:spacing w:val="0"/>
          <w:w w:val="100"/>
          <w:position w:val="0"/>
          <w:sz w:val="32"/>
          <w:szCs w:val="32"/>
          <w:lang w:val="en-US" w:eastAsia="zh-CN"/>
        </w:rPr>
      </w:pPr>
    </w:p>
    <w:p>
      <w:pPr>
        <w:pStyle w:val="2"/>
        <w:rPr>
          <w:rFonts w:hint="default" w:ascii="仿宋" w:hAnsi="仿宋" w:eastAsia="仿宋" w:cs="仿宋"/>
          <w:b w:val="0"/>
          <w:bCs w:val="0"/>
          <w:color w:val="000000"/>
          <w:spacing w:val="0"/>
          <w:w w:val="100"/>
          <w:position w:val="0"/>
          <w:sz w:val="32"/>
          <w:szCs w:val="32"/>
          <w:lang w:val="en-US" w:eastAsia="zh-CN"/>
        </w:rPr>
      </w:pPr>
    </w:p>
    <w:p>
      <w:pPr>
        <w:rPr>
          <w:rFonts w:hint="default" w:ascii="仿宋" w:hAnsi="仿宋" w:eastAsia="仿宋" w:cs="仿宋"/>
          <w:b w:val="0"/>
          <w:bCs w:val="0"/>
          <w:color w:val="000000"/>
          <w:spacing w:val="0"/>
          <w:w w:val="100"/>
          <w:position w:val="0"/>
          <w:sz w:val="32"/>
          <w:szCs w:val="32"/>
          <w:lang w:val="en-US" w:eastAsia="zh-CN"/>
        </w:rPr>
      </w:pPr>
    </w:p>
    <w:p>
      <w:pPr>
        <w:pStyle w:val="2"/>
        <w:rPr>
          <w:rFonts w:hint="default" w:ascii="仿宋" w:hAnsi="仿宋" w:eastAsia="仿宋" w:cs="仿宋"/>
          <w:b w:val="0"/>
          <w:bCs w:val="0"/>
          <w:color w:val="000000"/>
          <w:spacing w:val="0"/>
          <w:w w:val="100"/>
          <w:position w:val="0"/>
          <w:sz w:val="32"/>
          <w:szCs w:val="32"/>
          <w:lang w:val="en-US" w:eastAsia="zh-CN"/>
        </w:rPr>
      </w:pPr>
    </w:p>
    <w:p>
      <w:pPr>
        <w:rPr>
          <w:rFonts w:hint="default" w:ascii="仿宋" w:hAnsi="仿宋" w:eastAsia="仿宋" w:cs="仿宋"/>
          <w:b w:val="0"/>
          <w:bCs w:val="0"/>
          <w:color w:val="000000"/>
          <w:spacing w:val="0"/>
          <w:w w:val="100"/>
          <w:position w:val="0"/>
          <w:sz w:val="32"/>
          <w:szCs w:val="32"/>
          <w:lang w:val="en-US" w:eastAsia="zh-CN"/>
        </w:rPr>
      </w:pPr>
    </w:p>
    <w:p>
      <w:pPr>
        <w:pStyle w:val="2"/>
        <w:rPr>
          <w:rFonts w:hint="default" w:ascii="仿宋" w:hAnsi="仿宋" w:eastAsia="仿宋" w:cs="仿宋"/>
          <w:b w:val="0"/>
          <w:bCs w:val="0"/>
          <w:color w:val="000000"/>
          <w:spacing w:val="0"/>
          <w:w w:val="100"/>
          <w:position w:val="0"/>
          <w:sz w:val="32"/>
          <w:szCs w:val="32"/>
          <w:lang w:val="en-US" w:eastAsia="zh-CN"/>
        </w:rPr>
      </w:pPr>
    </w:p>
    <w:p>
      <w:pPr>
        <w:rPr>
          <w:rFonts w:hint="default" w:ascii="仿宋" w:hAnsi="仿宋" w:eastAsia="仿宋" w:cs="仿宋"/>
          <w:b w:val="0"/>
          <w:bCs w:val="0"/>
          <w:color w:val="000000"/>
          <w:spacing w:val="0"/>
          <w:w w:val="100"/>
          <w:position w:val="0"/>
          <w:sz w:val="32"/>
          <w:szCs w:val="32"/>
          <w:lang w:val="en-US" w:eastAsia="zh-CN"/>
        </w:rPr>
      </w:pPr>
    </w:p>
    <w:p>
      <w:pPr>
        <w:pStyle w:val="2"/>
        <w:rPr>
          <w:rFonts w:hint="default" w:ascii="仿宋" w:hAnsi="仿宋" w:eastAsia="仿宋" w:cs="仿宋"/>
          <w:b w:val="0"/>
          <w:bCs w:val="0"/>
          <w:color w:val="000000"/>
          <w:spacing w:val="0"/>
          <w:w w:val="100"/>
          <w:position w:val="0"/>
          <w:sz w:val="32"/>
          <w:szCs w:val="32"/>
          <w:lang w:val="en-US" w:eastAsia="zh-CN"/>
        </w:rPr>
      </w:pPr>
    </w:p>
    <w:p>
      <w:pPr>
        <w:rPr>
          <w:rFonts w:hint="default" w:ascii="仿宋" w:hAnsi="仿宋" w:eastAsia="仿宋" w:cs="仿宋"/>
          <w:b w:val="0"/>
          <w:bCs w:val="0"/>
          <w:color w:val="000000"/>
          <w:spacing w:val="0"/>
          <w:w w:val="100"/>
          <w:position w:val="0"/>
          <w:sz w:val="32"/>
          <w:szCs w:val="32"/>
          <w:lang w:val="en-US" w:eastAsia="zh-CN"/>
        </w:rPr>
      </w:pPr>
    </w:p>
    <w:p>
      <w:pPr>
        <w:pStyle w:val="2"/>
        <w:rPr>
          <w:rFonts w:hint="default" w:ascii="仿宋" w:hAnsi="仿宋" w:eastAsia="仿宋" w:cs="仿宋"/>
          <w:b w:val="0"/>
          <w:bCs w:val="0"/>
          <w:color w:val="000000"/>
          <w:spacing w:val="0"/>
          <w:w w:val="100"/>
          <w:position w:val="0"/>
          <w:sz w:val="32"/>
          <w:szCs w:val="32"/>
          <w:lang w:val="en-US" w:eastAsia="zh-CN"/>
        </w:rPr>
      </w:pPr>
    </w:p>
    <w:p>
      <w:pPr>
        <w:rPr>
          <w:rFonts w:hint="default" w:ascii="仿宋" w:hAnsi="仿宋" w:eastAsia="仿宋" w:cs="仿宋"/>
          <w:b w:val="0"/>
          <w:bCs w:val="0"/>
          <w:color w:val="000000"/>
          <w:spacing w:val="0"/>
          <w:w w:val="100"/>
          <w:position w:val="0"/>
          <w:sz w:val="32"/>
          <w:szCs w:val="32"/>
          <w:lang w:val="en-US" w:eastAsia="zh-CN"/>
        </w:rPr>
      </w:pPr>
    </w:p>
    <w:p>
      <w:pPr>
        <w:pStyle w:val="2"/>
        <w:rPr>
          <w:rFonts w:hint="default" w:ascii="仿宋" w:hAnsi="仿宋" w:eastAsia="仿宋" w:cs="仿宋"/>
          <w:b w:val="0"/>
          <w:bCs w:val="0"/>
          <w:color w:val="000000"/>
          <w:spacing w:val="0"/>
          <w:w w:val="100"/>
          <w:position w:val="0"/>
          <w:sz w:val="32"/>
          <w:szCs w:val="32"/>
          <w:lang w:val="en-US" w:eastAsia="zh-CN"/>
        </w:rPr>
      </w:pPr>
    </w:p>
    <w:p>
      <w:pPr>
        <w:rPr>
          <w:rFonts w:hint="default" w:ascii="仿宋" w:hAnsi="仿宋" w:eastAsia="仿宋" w:cs="仿宋"/>
          <w:b w:val="0"/>
          <w:bCs w:val="0"/>
          <w:color w:val="000000"/>
          <w:spacing w:val="0"/>
          <w:w w:val="100"/>
          <w:position w:val="0"/>
          <w:sz w:val="32"/>
          <w:szCs w:val="32"/>
          <w:lang w:val="en-US" w:eastAsia="zh-CN"/>
        </w:rPr>
      </w:pPr>
    </w:p>
    <w:p>
      <w:pPr>
        <w:pStyle w:val="2"/>
        <w:rPr>
          <w:rFonts w:hint="default" w:ascii="仿宋" w:hAnsi="仿宋" w:eastAsia="仿宋" w:cs="仿宋"/>
          <w:b w:val="0"/>
          <w:bCs w:val="0"/>
          <w:color w:val="000000"/>
          <w:spacing w:val="0"/>
          <w:w w:val="100"/>
          <w:position w:val="0"/>
          <w:sz w:val="32"/>
          <w:szCs w:val="32"/>
          <w:lang w:val="en-US" w:eastAsia="zh-CN"/>
        </w:rPr>
      </w:pPr>
    </w:p>
    <w:p>
      <w:pPr>
        <w:rPr>
          <w:rFonts w:hint="default" w:ascii="仿宋" w:hAnsi="仿宋" w:eastAsia="仿宋" w:cs="仿宋"/>
          <w:b w:val="0"/>
          <w:bCs w:val="0"/>
          <w:color w:val="000000"/>
          <w:spacing w:val="0"/>
          <w:w w:val="100"/>
          <w:position w:val="0"/>
          <w:sz w:val="32"/>
          <w:szCs w:val="32"/>
          <w:lang w:val="en-US" w:eastAsia="zh-CN"/>
        </w:rPr>
      </w:pPr>
    </w:p>
    <w:p>
      <w:pPr>
        <w:pStyle w:val="2"/>
        <w:rPr>
          <w:rFonts w:hint="default" w:ascii="仿宋" w:hAnsi="仿宋" w:eastAsia="仿宋" w:cs="仿宋"/>
          <w:b w:val="0"/>
          <w:bCs w:val="0"/>
          <w:color w:val="000000"/>
          <w:spacing w:val="0"/>
          <w:w w:val="100"/>
          <w:position w:val="0"/>
          <w:sz w:val="32"/>
          <w:szCs w:val="32"/>
          <w:lang w:val="en-US" w:eastAsia="zh-CN"/>
        </w:rPr>
      </w:pPr>
    </w:p>
    <w:p>
      <w:pPr>
        <w:rPr>
          <w:rFonts w:hint="default" w:ascii="仿宋" w:hAnsi="仿宋" w:eastAsia="仿宋" w:cs="仿宋"/>
          <w:b w:val="0"/>
          <w:bCs w:val="0"/>
          <w:color w:val="000000"/>
          <w:spacing w:val="0"/>
          <w:w w:val="100"/>
          <w:position w:val="0"/>
          <w:sz w:val="32"/>
          <w:szCs w:val="32"/>
          <w:lang w:val="en-US" w:eastAsia="zh-CN"/>
        </w:rPr>
      </w:pPr>
    </w:p>
    <w:p>
      <w:pPr>
        <w:pStyle w:val="2"/>
        <w:rPr>
          <w:rFonts w:hint="default" w:ascii="仿宋" w:hAnsi="仿宋" w:eastAsia="仿宋" w:cs="仿宋"/>
          <w:b w:val="0"/>
          <w:bCs w:val="0"/>
          <w:color w:val="000000"/>
          <w:spacing w:val="0"/>
          <w:w w:val="100"/>
          <w:position w:val="0"/>
          <w:sz w:val="32"/>
          <w:szCs w:val="32"/>
          <w:lang w:val="en-US" w:eastAsia="zh-CN"/>
        </w:rPr>
      </w:pPr>
    </w:p>
    <w:p>
      <w:pPr>
        <w:rPr>
          <w:rFonts w:hint="default" w:ascii="仿宋" w:hAnsi="仿宋" w:eastAsia="仿宋" w:cs="仿宋"/>
          <w:b w:val="0"/>
          <w:bCs w:val="0"/>
          <w:color w:val="000000"/>
          <w:spacing w:val="0"/>
          <w:w w:val="100"/>
          <w:position w:val="0"/>
          <w:sz w:val="32"/>
          <w:szCs w:val="32"/>
          <w:lang w:val="en-US" w:eastAsia="zh-CN"/>
        </w:rPr>
      </w:pPr>
    </w:p>
    <w:p>
      <w:pPr>
        <w:pStyle w:val="2"/>
        <w:rPr>
          <w:rFonts w:hint="default" w:ascii="仿宋" w:hAnsi="仿宋" w:eastAsia="仿宋" w:cs="仿宋"/>
          <w:b w:val="0"/>
          <w:bCs w:val="0"/>
          <w:color w:val="000000"/>
          <w:spacing w:val="0"/>
          <w:w w:val="100"/>
          <w:position w:val="0"/>
          <w:sz w:val="32"/>
          <w:szCs w:val="32"/>
          <w:lang w:val="en-US" w:eastAsia="zh-CN"/>
        </w:rPr>
      </w:pPr>
    </w:p>
    <w:p>
      <w:pPr>
        <w:pStyle w:val="2"/>
        <w:rPr>
          <w:rFonts w:hint="eastAsia" w:ascii="仿宋_GB2312" w:hAnsi="仿宋_GB2312" w:eastAsia="仿宋_GB2312" w:cs="仿宋_GB2312"/>
          <w:b w:val="0"/>
          <w:bCs/>
          <w:w w:val="100"/>
          <w:sz w:val="32"/>
          <w:szCs w:val="32"/>
          <w:lang w:val="en-US" w:eastAsia="zh-CN"/>
        </w:rPr>
      </w:pPr>
    </w:p>
    <w:p>
      <w:pPr>
        <w:rPr>
          <w:rFonts w:hint="eastAsia" w:ascii="仿宋_GB2312" w:hAnsi="仿宋_GB2312" w:eastAsia="仿宋_GB2312" w:cs="仿宋_GB2312"/>
          <w:b w:val="0"/>
          <w:bCs/>
          <w:w w:val="100"/>
          <w:sz w:val="32"/>
          <w:szCs w:val="32"/>
          <w:lang w:val="en-US" w:eastAsia="zh-CN"/>
        </w:rPr>
      </w:pPr>
    </w:p>
    <w:p>
      <w:pPr>
        <w:pStyle w:val="2"/>
        <w:rPr>
          <w:rFonts w:hint="eastAsia" w:ascii="仿宋_GB2312" w:hAnsi="仿宋_GB2312" w:eastAsia="仿宋_GB2312" w:cs="仿宋_GB2312"/>
          <w:b w:val="0"/>
          <w:bCs/>
          <w:w w:val="100"/>
          <w:sz w:val="32"/>
          <w:szCs w:val="32"/>
          <w:lang w:val="en-US" w:eastAsia="zh-CN"/>
        </w:rPr>
      </w:pPr>
    </w:p>
    <w:p>
      <w:pPr>
        <w:rPr>
          <w:rFonts w:hint="eastAsia" w:ascii="仿宋_GB2312" w:hAnsi="仿宋_GB2312" w:eastAsia="仿宋_GB2312" w:cs="仿宋_GB2312"/>
          <w:b w:val="0"/>
          <w:bCs/>
          <w:w w:val="100"/>
          <w:sz w:val="32"/>
          <w:szCs w:val="32"/>
          <w:lang w:val="en-US" w:eastAsia="zh-CN"/>
        </w:rPr>
      </w:pPr>
    </w:p>
    <w:p>
      <w:pPr>
        <w:rPr>
          <w:rFonts w:hint="eastAsia"/>
          <w:lang w:val="en-US" w:eastAsia="zh-CN"/>
        </w:rPr>
      </w:pPr>
    </w:p>
    <w:p>
      <w:pPr>
        <w:pBdr>
          <w:top w:val="single" w:color="auto" w:sz="4" w:space="0"/>
          <w:bottom w:val="single" w:color="auto" w:sz="4" w:space="0"/>
        </w:pBdr>
        <w:spacing w:line="600" w:lineRule="exact"/>
        <w:ind w:firstLine="280" w:firstLineChars="100"/>
        <w:jc w:val="left"/>
        <w:rPr>
          <w:rFonts w:hint="default"/>
          <w:lang w:val="en-US" w:eastAsia="zh-CN"/>
        </w:rPr>
      </w:pPr>
      <w:r>
        <w:rPr>
          <w:rFonts w:hint="eastAsia" w:ascii="仿宋_GB2312" w:hAnsi="仿宋_GB2312" w:eastAsia="仿宋_GB2312" w:cs="仿宋_GB2312"/>
          <w:sz w:val="28"/>
          <w:szCs w:val="28"/>
          <w:lang w:eastAsia="zh-CN"/>
        </w:rPr>
        <w:t>山亭区人民政府办公室</w:t>
      </w:r>
      <w:r>
        <w:rPr>
          <w:rFonts w:hint="eastAsia" w:ascii="仿宋_GB2312" w:hAnsi="仿宋_GB2312" w:eastAsia="仿宋_GB2312" w:cs="仿宋_GB2312"/>
          <w:sz w:val="28"/>
          <w:szCs w:val="28"/>
          <w:lang w:val="en-US" w:eastAsia="zh-CN"/>
        </w:rPr>
        <w:t xml:space="preserve">                    2022年7月4日印发</w:t>
      </w:r>
    </w:p>
    <w:sectPr>
      <w:footerReference r:id="rId3" w:type="default"/>
      <w:pgSz w:w="11906" w:h="16838"/>
      <w:pgMar w:top="1984" w:right="1587" w:bottom="187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zRiMzgyNGQ1NDJlY2RlNWVkMjNiNWNjNDNhMzQifQ=="/>
  </w:docVars>
  <w:rsids>
    <w:rsidRoot w:val="1EB61D07"/>
    <w:rsid w:val="001800BC"/>
    <w:rsid w:val="00B9263C"/>
    <w:rsid w:val="00C761EB"/>
    <w:rsid w:val="013A6EE2"/>
    <w:rsid w:val="02076CCF"/>
    <w:rsid w:val="02262609"/>
    <w:rsid w:val="023B2673"/>
    <w:rsid w:val="025C009E"/>
    <w:rsid w:val="0299046D"/>
    <w:rsid w:val="0313263A"/>
    <w:rsid w:val="033752C6"/>
    <w:rsid w:val="036D5C10"/>
    <w:rsid w:val="04D26458"/>
    <w:rsid w:val="04DA3444"/>
    <w:rsid w:val="05E573FB"/>
    <w:rsid w:val="05EF5FC7"/>
    <w:rsid w:val="06456265"/>
    <w:rsid w:val="06C66F0D"/>
    <w:rsid w:val="070A4D37"/>
    <w:rsid w:val="07201E36"/>
    <w:rsid w:val="073A7BA8"/>
    <w:rsid w:val="0764467E"/>
    <w:rsid w:val="079B5029"/>
    <w:rsid w:val="07C74AE8"/>
    <w:rsid w:val="08094747"/>
    <w:rsid w:val="08292164"/>
    <w:rsid w:val="082E548F"/>
    <w:rsid w:val="08C97472"/>
    <w:rsid w:val="09000A97"/>
    <w:rsid w:val="092D56F2"/>
    <w:rsid w:val="09917178"/>
    <w:rsid w:val="09C66E87"/>
    <w:rsid w:val="09E85575"/>
    <w:rsid w:val="0A1231CA"/>
    <w:rsid w:val="0B985648"/>
    <w:rsid w:val="0C1A7E06"/>
    <w:rsid w:val="0C2024DF"/>
    <w:rsid w:val="0CA77A81"/>
    <w:rsid w:val="0CCA3947"/>
    <w:rsid w:val="0CE73388"/>
    <w:rsid w:val="0D4F62DC"/>
    <w:rsid w:val="0DA80482"/>
    <w:rsid w:val="0E737EAA"/>
    <w:rsid w:val="0E8A356A"/>
    <w:rsid w:val="0EAD26ED"/>
    <w:rsid w:val="101F6456"/>
    <w:rsid w:val="10333A7F"/>
    <w:rsid w:val="108160EB"/>
    <w:rsid w:val="10C056D0"/>
    <w:rsid w:val="11C269BB"/>
    <w:rsid w:val="120D3353"/>
    <w:rsid w:val="12A42C49"/>
    <w:rsid w:val="12E7492B"/>
    <w:rsid w:val="13050577"/>
    <w:rsid w:val="13A46379"/>
    <w:rsid w:val="14250D1F"/>
    <w:rsid w:val="145965A9"/>
    <w:rsid w:val="14CC078B"/>
    <w:rsid w:val="14CC3204"/>
    <w:rsid w:val="155753F1"/>
    <w:rsid w:val="159B10A9"/>
    <w:rsid w:val="15D078F9"/>
    <w:rsid w:val="163628A1"/>
    <w:rsid w:val="163B0AEA"/>
    <w:rsid w:val="16D73C12"/>
    <w:rsid w:val="176936B2"/>
    <w:rsid w:val="17D2114D"/>
    <w:rsid w:val="17FB6056"/>
    <w:rsid w:val="181616D2"/>
    <w:rsid w:val="18A82C08"/>
    <w:rsid w:val="195D280D"/>
    <w:rsid w:val="198527A8"/>
    <w:rsid w:val="19D66745"/>
    <w:rsid w:val="1A0E6C42"/>
    <w:rsid w:val="1A164F21"/>
    <w:rsid w:val="1B4A2241"/>
    <w:rsid w:val="1B694AD1"/>
    <w:rsid w:val="1BD134D5"/>
    <w:rsid w:val="1BD60EF4"/>
    <w:rsid w:val="1BD95505"/>
    <w:rsid w:val="1DA125C3"/>
    <w:rsid w:val="1DC5552D"/>
    <w:rsid w:val="1E0F0A85"/>
    <w:rsid w:val="1E4A545F"/>
    <w:rsid w:val="1EB06DBF"/>
    <w:rsid w:val="1EB61D07"/>
    <w:rsid w:val="1F0C2829"/>
    <w:rsid w:val="1FC71EFB"/>
    <w:rsid w:val="2036539B"/>
    <w:rsid w:val="207672EF"/>
    <w:rsid w:val="20DD4B0D"/>
    <w:rsid w:val="219E5AE5"/>
    <w:rsid w:val="219F586A"/>
    <w:rsid w:val="21AD5289"/>
    <w:rsid w:val="21D70AAC"/>
    <w:rsid w:val="21DA1AFF"/>
    <w:rsid w:val="21FC5DB4"/>
    <w:rsid w:val="22086F94"/>
    <w:rsid w:val="227C0724"/>
    <w:rsid w:val="22897B90"/>
    <w:rsid w:val="22B460F2"/>
    <w:rsid w:val="232E3EB1"/>
    <w:rsid w:val="23A66BE7"/>
    <w:rsid w:val="23B048C6"/>
    <w:rsid w:val="23BE4707"/>
    <w:rsid w:val="23DC4779"/>
    <w:rsid w:val="23E15F79"/>
    <w:rsid w:val="24A147A9"/>
    <w:rsid w:val="24DB1E16"/>
    <w:rsid w:val="25146909"/>
    <w:rsid w:val="2675007C"/>
    <w:rsid w:val="26A70AA3"/>
    <w:rsid w:val="26B172D2"/>
    <w:rsid w:val="26CD7853"/>
    <w:rsid w:val="26E6580A"/>
    <w:rsid w:val="26EE6226"/>
    <w:rsid w:val="26F84E00"/>
    <w:rsid w:val="271F0C6C"/>
    <w:rsid w:val="275205B8"/>
    <w:rsid w:val="27536D39"/>
    <w:rsid w:val="278B627F"/>
    <w:rsid w:val="27D55D8E"/>
    <w:rsid w:val="28233A90"/>
    <w:rsid w:val="288C3596"/>
    <w:rsid w:val="289E0B5B"/>
    <w:rsid w:val="29197641"/>
    <w:rsid w:val="2A552F76"/>
    <w:rsid w:val="2A6E689F"/>
    <w:rsid w:val="2A7E4578"/>
    <w:rsid w:val="2ABB1C46"/>
    <w:rsid w:val="2AC31382"/>
    <w:rsid w:val="2ADC64F6"/>
    <w:rsid w:val="2AE97F97"/>
    <w:rsid w:val="2AF44E56"/>
    <w:rsid w:val="2B201DCB"/>
    <w:rsid w:val="2BCA2791"/>
    <w:rsid w:val="2BCA5C23"/>
    <w:rsid w:val="2C1D0668"/>
    <w:rsid w:val="2C2B650D"/>
    <w:rsid w:val="2C61424C"/>
    <w:rsid w:val="2CA96B26"/>
    <w:rsid w:val="2D6121DF"/>
    <w:rsid w:val="2E251F8F"/>
    <w:rsid w:val="2EAC6CD5"/>
    <w:rsid w:val="2FF417F6"/>
    <w:rsid w:val="305F0AA0"/>
    <w:rsid w:val="30F0193B"/>
    <w:rsid w:val="312612C4"/>
    <w:rsid w:val="313E01EB"/>
    <w:rsid w:val="319C78A4"/>
    <w:rsid w:val="31CE233D"/>
    <w:rsid w:val="32096E60"/>
    <w:rsid w:val="321E2F57"/>
    <w:rsid w:val="32F31583"/>
    <w:rsid w:val="332F3051"/>
    <w:rsid w:val="35FA4ED0"/>
    <w:rsid w:val="360B2F38"/>
    <w:rsid w:val="36553942"/>
    <w:rsid w:val="36C7392C"/>
    <w:rsid w:val="36E87C71"/>
    <w:rsid w:val="3724512D"/>
    <w:rsid w:val="374E08BF"/>
    <w:rsid w:val="38714527"/>
    <w:rsid w:val="388F788F"/>
    <w:rsid w:val="39FC287C"/>
    <w:rsid w:val="3A377C51"/>
    <w:rsid w:val="3AC46E86"/>
    <w:rsid w:val="3B186333"/>
    <w:rsid w:val="3B1966CC"/>
    <w:rsid w:val="3B6C1496"/>
    <w:rsid w:val="3B707471"/>
    <w:rsid w:val="3C6675F5"/>
    <w:rsid w:val="3D2C5F0E"/>
    <w:rsid w:val="3DEC1BA3"/>
    <w:rsid w:val="3E19623B"/>
    <w:rsid w:val="3EC03B10"/>
    <w:rsid w:val="3EFB2C75"/>
    <w:rsid w:val="3F6C557C"/>
    <w:rsid w:val="3FB14C7A"/>
    <w:rsid w:val="40286E44"/>
    <w:rsid w:val="40AA7E62"/>
    <w:rsid w:val="40C83F6A"/>
    <w:rsid w:val="40CA3F6B"/>
    <w:rsid w:val="40FC0CF2"/>
    <w:rsid w:val="418F7DB9"/>
    <w:rsid w:val="41B1591F"/>
    <w:rsid w:val="41BB0604"/>
    <w:rsid w:val="43152E5E"/>
    <w:rsid w:val="434C0C81"/>
    <w:rsid w:val="43AD347C"/>
    <w:rsid w:val="442247E6"/>
    <w:rsid w:val="442C78FF"/>
    <w:rsid w:val="442E53BB"/>
    <w:rsid w:val="44F0690A"/>
    <w:rsid w:val="44F65D81"/>
    <w:rsid w:val="45A531D7"/>
    <w:rsid w:val="45A8418F"/>
    <w:rsid w:val="45E105F4"/>
    <w:rsid w:val="465E6366"/>
    <w:rsid w:val="46CA5A66"/>
    <w:rsid w:val="472966D5"/>
    <w:rsid w:val="47605D42"/>
    <w:rsid w:val="487D7730"/>
    <w:rsid w:val="494460DF"/>
    <w:rsid w:val="497F0713"/>
    <w:rsid w:val="4A1930ED"/>
    <w:rsid w:val="4A6C32CB"/>
    <w:rsid w:val="4ACD4C89"/>
    <w:rsid w:val="4AF00CF3"/>
    <w:rsid w:val="4BD56142"/>
    <w:rsid w:val="4D5B16AE"/>
    <w:rsid w:val="4D6C3E74"/>
    <w:rsid w:val="4D922EDC"/>
    <w:rsid w:val="4E512EAE"/>
    <w:rsid w:val="4F1471BF"/>
    <w:rsid w:val="4F406CD8"/>
    <w:rsid w:val="4F6340FD"/>
    <w:rsid w:val="4F637BB8"/>
    <w:rsid w:val="4FB56C3C"/>
    <w:rsid w:val="505709B7"/>
    <w:rsid w:val="51807A64"/>
    <w:rsid w:val="51887B4F"/>
    <w:rsid w:val="51C768FD"/>
    <w:rsid w:val="51D82F4B"/>
    <w:rsid w:val="5302251E"/>
    <w:rsid w:val="53530CB8"/>
    <w:rsid w:val="53E92255"/>
    <w:rsid w:val="548A5D15"/>
    <w:rsid w:val="54BC7E98"/>
    <w:rsid w:val="55582CD7"/>
    <w:rsid w:val="556471E4"/>
    <w:rsid w:val="5642691E"/>
    <w:rsid w:val="56457A9E"/>
    <w:rsid w:val="56A058E2"/>
    <w:rsid w:val="57F01151"/>
    <w:rsid w:val="588A1D36"/>
    <w:rsid w:val="590C2A62"/>
    <w:rsid w:val="591154EC"/>
    <w:rsid w:val="594C63B7"/>
    <w:rsid w:val="598B7C98"/>
    <w:rsid w:val="59925FEC"/>
    <w:rsid w:val="5ADC6500"/>
    <w:rsid w:val="5AED61BE"/>
    <w:rsid w:val="5B1F312C"/>
    <w:rsid w:val="5BF63647"/>
    <w:rsid w:val="5C70277B"/>
    <w:rsid w:val="5CBA1B19"/>
    <w:rsid w:val="5CBA5941"/>
    <w:rsid w:val="5D1A01BF"/>
    <w:rsid w:val="5D392F11"/>
    <w:rsid w:val="5DEA6FC3"/>
    <w:rsid w:val="5F0D1A1C"/>
    <w:rsid w:val="5F857F66"/>
    <w:rsid w:val="5F9467E5"/>
    <w:rsid w:val="5FA840F7"/>
    <w:rsid w:val="5FC06390"/>
    <w:rsid w:val="5FD749AD"/>
    <w:rsid w:val="605D7733"/>
    <w:rsid w:val="60E42575"/>
    <w:rsid w:val="61353947"/>
    <w:rsid w:val="622122CC"/>
    <w:rsid w:val="634A2979"/>
    <w:rsid w:val="636270B1"/>
    <w:rsid w:val="63754DA3"/>
    <w:rsid w:val="63BF40D6"/>
    <w:rsid w:val="641957B8"/>
    <w:rsid w:val="655660AD"/>
    <w:rsid w:val="66457950"/>
    <w:rsid w:val="66D44AB3"/>
    <w:rsid w:val="6703387E"/>
    <w:rsid w:val="671367FA"/>
    <w:rsid w:val="67A13C05"/>
    <w:rsid w:val="67B71B94"/>
    <w:rsid w:val="69053E7C"/>
    <w:rsid w:val="696470F9"/>
    <w:rsid w:val="6A1F10C3"/>
    <w:rsid w:val="6B856F74"/>
    <w:rsid w:val="6B861C6A"/>
    <w:rsid w:val="6BD83F86"/>
    <w:rsid w:val="6BDA5F51"/>
    <w:rsid w:val="6C1923D7"/>
    <w:rsid w:val="6C205D8E"/>
    <w:rsid w:val="6C315414"/>
    <w:rsid w:val="6C6164F4"/>
    <w:rsid w:val="6C7D27B5"/>
    <w:rsid w:val="6C8A1BCE"/>
    <w:rsid w:val="6D040DBE"/>
    <w:rsid w:val="6D6F1A61"/>
    <w:rsid w:val="6DC57B71"/>
    <w:rsid w:val="6DE63302"/>
    <w:rsid w:val="6FB8451A"/>
    <w:rsid w:val="704423AE"/>
    <w:rsid w:val="70E70F85"/>
    <w:rsid w:val="71087BAB"/>
    <w:rsid w:val="71360CA3"/>
    <w:rsid w:val="71794724"/>
    <w:rsid w:val="71F268E3"/>
    <w:rsid w:val="72BD2A54"/>
    <w:rsid w:val="73E54D4E"/>
    <w:rsid w:val="74E06E3F"/>
    <w:rsid w:val="757D753B"/>
    <w:rsid w:val="75895CE5"/>
    <w:rsid w:val="75D9161F"/>
    <w:rsid w:val="75EB3EA3"/>
    <w:rsid w:val="761045E5"/>
    <w:rsid w:val="76471924"/>
    <w:rsid w:val="769A0FC0"/>
    <w:rsid w:val="76C336A7"/>
    <w:rsid w:val="777E6B72"/>
    <w:rsid w:val="779E7F8E"/>
    <w:rsid w:val="792A6086"/>
    <w:rsid w:val="792F3E75"/>
    <w:rsid w:val="79AA11BF"/>
    <w:rsid w:val="79AC0564"/>
    <w:rsid w:val="7A584A4E"/>
    <w:rsid w:val="7A686B51"/>
    <w:rsid w:val="7AD75E9C"/>
    <w:rsid w:val="7B1C6960"/>
    <w:rsid w:val="7B7F18A6"/>
    <w:rsid w:val="7BF43E14"/>
    <w:rsid w:val="7BF73FB5"/>
    <w:rsid w:val="7C0E57A2"/>
    <w:rsid w:val="7CC706EC"/>
    <w:rsid w:val="7CE72F5B"/>
    <w:rsid w:val="7D0D7CB9"/>
    <w:rsid w:val="7DEE0B85"/>
    <w:rsid w:val="7E1B2D48"/>
    <w:rsid w:val="7E30344E"/>
    <w:rsid w:val="7E4B3EFF"/>
    <w:rsid w:val="7EA25B17"/>
    <w:rsid w:val="7EA83DD2"/>
    <w:rsid w:val="7F8A164E"/>
    <w:rsid w:val="7F956496"/>
    <w:rsid w:val="7FBD6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Body Text"/>
    <w:basedOn w:val="1"/>
    <w:unhideWhenUsed/>
    <w:qFormat/>
    <w:uiPriority w:val="1"/>
    <w:pPr>
      <w:spacing w:beforeLines="0" w:afterLines="0"/>
      <w:ind w:left="119"/>
    </w:pPr>
    <w:rPr>
      <w:rFonts w:hint="eastAsia"/>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Heading #2|1"/>
    <w:basedOn w:val="1"/>
    <w:qFormat/>
    <w:uiPriority w:val="0"/>
    <w:pPr>
      <w:widowControl w:val="0"/>
      <w:shd w:val="clear" w:color="auto" w:fill="auto"/>
      <w:spacing w:after="500" w:line="566" w:lineRule="exact"/>
      <w:ind w:left="1160" w:hanging="580"/>
      <w:outlineLvl w:val="1"/>
    </w:pPr>
    <w:rPr>
      <w:rFonts w:ascii="宋体" w:hAnsi="宋体" w:eastAsia="宋体" w:cs="宋体"/>
      <w:sz w:val="42"/>
      <w:szCs w:val="42"/>
      <w:u w:val="none"/>
      <w:shd w:val="clear" w:color="auto" w:fill="auto"/>
      <w:lang w:val="zh-TW" w:eastAsia="zh-TW" w:bidi="zh-TW"/>
    </w:rPr>
  </w:style>
  <w:style w:type="paragraph" w:customStyle="1" w:styleId="10">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Other|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14526</Words>
  <Characters>14689</Characters>
  <Lines>0</Lines>
  <Paragraphs>0</Paragraphs>
  <TotalTime>4</TotalTime>
  <ScaleCrop>false</ScaleCrop>
  <LinksUpToDate>false</LinksUpToDate>
  <CharactersWithSpaces>14841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2021-11-20T19:14:00Z</dcterms:created>
  <dc:creator>赵灰淘食泄</dc:creator>
  <cp:lastModifiedBy>user</cp:lastModifiedBy>
  <cp:lastPrinted>2022-01-01T12:19:00Z</cp:lastPrinted>
  <dcterms:modified xsi:type="dcterms:W3CDTF">2022-08-09T18:24:01Z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9716F8CAF7FD48D3B7B230B6EBBE45E8</vt:lpwstr>
  </property>
</Properties>
</file>